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72B444E0" w:rsidR="00E978D0" w:rsidRPr="00B57B36" w:rsidRDefault="00B64DC6" w:rsidP="00E978D0">
      <w:pPr>
        <w:pStyle w:val="CETTitle"/>
      </w:pPr>
      <w:r>
        <w:t>Design and Optimization of Processes for the Production of Liquid Biomethane</w:t>
      </w:r>
    </w:p>
    <w:p w14:paraId="0488FED2" w14:textId="37C2A81D" w:rsidR="00B57E6F" w:rsidRPr="00677951" w:rsidRDefault="00B64DC6" w:rsidP="00B57E6F">
      <w:pPr>
        <w:pStyle w:val="CETAuthors"/>
        <w:rPr>
          <w:lang w:val="it-IT"/>
        </w:rPr>
      </w:pPr>
      <w:r w:rsidRPr="00677951">
        <w:rPr>
          <w:lang w:val="it-IT"/>
        </w:rPr>
        <w:t>Giorgia De Guido</w:t>
      </w:r>
      <w:r w:rsidR="00B57E6F" w:rsidRPr="00677951">
        <w:rPr>
          <w:vertAlign w:val="superscript"/>
          <w:lang w:val="it-IT"/>
        </w:rPr>
        <w:t>a,</w:t>
      </w:r>
      <w:r w:rsidR="00B57E6F" w:rsidRPr="00677951">
        <w:rPr>
          <w:lang w:val="it-IT"/>
        </w:rPr>
        <w:t>*</w:t>
      </w:r>
    </w:p>
    <w:p w14:paraId="6B2D21B3" w14:textId="7B7F35BF" w:rsidR="00B57E6F" w:rsidRPr="00B64DC6" w:rsidRDefault="00B57E6F" w:rsidP="00B57E6F">
      <w:pPr>
        <w:pStyle w:val="CETAddress"/>
        <w:rPr>
          <w:lang w:val="it-IT"/>
        </w:rPr>
      </w:pPr>
      <w:r w:rsidRPr="00B64DC6">
        <w:rPr>
          <w:vertAlign w:val="superscript"/>
          <w:lang w:val="it-IT"/>
        </w:rPr>
        <w:t>a</w:t>
      </w:r>
      <w:r w:rsidR="00B64DC6" w:rsidRPr="00B64DC6">
        <w:rPr>
          <w:lang w:val="it-IT"/>
        </w:rPr>
        <w:t>GASP – Group on Advanced Separation Processes &amp; GAS Processing, Dipartimento di Chimica, Materiali e Ingegneria Chimica “G. Natta”, Politecni</w:t>
      </w:r>
      <w:r w:rsidR="005219BA">
        <w:rPr>
          <w:lang w:val="it-IT"/>
        </w:rPr>
        <w:t>c</w:t>
      </w:r>
      <w:r w:rsidR="00B64DC6" w:rsidRPr="00B64DC6">
        <w:rPr>
          <w:lang w:val="it-IT"/>
        </w:rPr>
        <w:t>o di Milano, Piazza Leonardo da Vinci 32, 20133</w:t>
      </w:r>
      <w:r w:rsidR="00B64DC6">
        <w:rPr>
          <w:lang w:val="it-IT"/>
        </w:rPr>
        <w:t xml:space="preserve"> Milano, Italy</w:t>
      </w:r>
      <w:r w:rsidRPr="00B64DC6">
        <w:rPr>
          <w:lang w:val="it-IT"/>
        </w:rPr>
        <w:t xml:space="preserve"> </w:t>
      </w:r>
    </w:p>
    <w:p w14:paraId="73F1267A" w14:textId="71E01C09" w:rsidR="00B57E6F" w:rsidRPr="00B57B36" w:rsidRDefault="00B64DC6" w:rsidP="00B57E6F">
      <w:pPr>
        <w:pStyle w:val="CETemail"/>
      </w:pPr>
      <w:r>
        <w:t>giorgia.deguido@polimi.it</w:t>
      </w:r>
    </w:p>
    <w:p w14:paraId="33C9B8E7" w14:textId="575B6627" w:rsidR="00B64DC6" w:rsidRDefault="00B64DC6" w:rsidP="00600535">
      <w:pPr>
        <w:pStyle w:val="CETBodytext"/>
        <w:rPr>
          <w:lang w:val="en-GB"/>
        </w:rPr>
      </w:pPr>
      <w:r w:rsidRPr="00B64DC6">
        <w:rPr>
          <w:lang w:val="en-GB"/>
        </w:rPr>
        <w:t>Biogas is considered as a good alternative to natural gas as an environmentally-friendly source of energy. It can be turned into Liquid Biomethane (LBM) through an energy-intensive process that consists of two steps: biogas upgrading, which aims at removing CO</w:t>
      </w:r>
      <w:r w:rsidRPr="0099102B">
        <w:rPr>
          <w:vertAlign w:val="subscript"/>
          <w:lang w:val="en-GB"/>
        </w:rPr>
        <w:t>2</w:t>
      </w:r>
      <w:r w:rsidRPr="00B64DC6">
        <w:rPr>
          <w:lang w:val="en-GB"/>
        </w:rPr>
        <w:t xml:space="preserve">, and </w:t>
      </w:r>
      <w:r w:rsidR="0037283F">
        <w:rPr>
          <w:lang w:val="en-GB"/>
        </w:rPr>
        <w:t>b</w:t>
      </w:r>
      <w:r w:rsidRPr="00B64DC6">
        <w:rPr>
          <w:lang w:val="en-GB"/>
        </w:rPr>
        <w:t>iomethane liquefaction. Among the available upgrading technologies, low-temperature separation by distillation represents a promising solution for LBM production as the synergy of the two processes results in a low energy consumption. This work focuses on the design and optimization of a liquefaction process to be operated downstream of the upgrading step performed by means of the Ryan-Holmes low-temperature extractive distillation process. To this purpose, the most suitable liquefaction technology ha</w:t>
      </w:r>
      <w:r w:rsidRPr="00503264">
        <w:rPr>
          <w:lang w:val="en-GB"/>
        </w:rPr>
        <w:t>s been determined by parameters optimization that has been performed by integrating the Genetic Algorithm toolbox available in MATLAB</w:t>
      </w:r>
      <w:r w:rsidRPr="00503264">
        <w:rPr>
          <w:vertAlign w:val="superscript"/>
          <w:lang w:val="en-GB"/>
        </w:rPr>
        <w:t>®</w:t>
      </w:r>
      <w:r w:rsidRPr="00503264">
        <w:rPr>
          <w:lang w:val="en-GB"/>
        </w:rPr>
        <w:t xml:space="preserve"> with Aspen HYSYS</w:t>
      </w:r>
      <w:r w:rsidRPr="00503264">
        <w:rPr>
          <w:vertAlign w:val="superscript"/>
          <w:lang w:val="en-GB"/>
        </w:rPr>
        <w:t>®</w:t>
      </w:r>
      <w:r w:rsidRPr="00503264">
        <w:rPr>
          <w:lang w:val="en-GB"/>
        </w:rPr>
        <w:t xml:space="preserve"> V11 through the ActiveX technology. The less energy-demanding liquefaction schemes have turned out to be the dual pressure reverse nitrogen cycle and the Claude cycle, which are characterized by an energy consumption of 7.36 kWh/</w:t>
      </w:r>
      <w:proofErr w:type="spellStart"/>
      <w:r w:rsidRPr="00503264">
        <w:rPr>
          <w:lang w:val="en-GB"/>
        </w:rPr>
        <w:t>kmol</w:t>
      </w:r>
      <w:r w:rsidRPr="00503264">
        <w:rPr>
          <w:vertAlign w:val="subscript"/>
          <w:lang w:val="en-GB"/>
        </w:rPr>
        <w:t>LBM</w:t>
      </w:r>
      <w:proofErr w:type="spellEnd"/>
      <w:r w:rsidRPr="00503264">
        <w:rPr>
          <w:lang w:val="en-GB"/>
        </w:rPr>
        <w:t xml:space="preserve"> and 7.18 kWh/</w:t>
      </w:r>
      <w:proofErr w:type="spellStart"/>
      <w:r w:rsidRPr="00503264">
        <w:rPr>
          <w:lang w:val="en-GB"/>
        </w:rPr>
        <w:t>kmol</w:t>
      </w:r>
      <w:r w:rsidRPr="00503264">
        <w:rPr>
          <w:vertAlign w:val="subscript"/>
          <w:lang w:val="en-GB"/>
        </w:rPr>
        <w:t>LBM</w:t>
      </w:r>
      <w:proofErr w:type="spellEnd"/>
      <w:r w:rsidRPr="00503264">
        <w:rPr>
          <w:lang w:val="en-GB"/>
        </w:rPr>
        <w:t>, respectively.</w:t>
      </w:r>
    </w:p>
    <w:p w14:paraId="476B2F2E" w14:textId="52B36035" w:rsidR="00600535" w:rsidRPr="00B57B36" w:rsidRDefault="00600535" w:rsidP="00600535">
      <w:pPr>
        <w:pStyle w:val="CETHeading1"/>
        <w:rPr>
          <w:lang w:val="en-GB"/>
        </w:rPr>
      </w:pPr>
      <w:r w:rsidRPr="00B57B36">
        <w:rPr>
          <w:lang w:val="en-GB"/>
        </w:rPr>
        <w:t>Introduction</w:t>
      </w:r>
    </w:p>
    <w:p w14:paraId="4286FE7C" w14:textId="16E8ADE8" w:rsidR="00B64DC6" w:rsidRDefault="00E73C90" w:rsidP="00B64DC6">
      <w:pPr>
        <w:pStyle w:val="CETBodytext"/>
        <w:rPr>
          <w:lang w:val="en-GB"/>
        </w:rPr>
      </w:pPr>
      <w:r w:rsidRPr="00E73C90">
        <w:rPr>
          <w:lang w:val="en-GB"/>
        </w:rPr>
        <w:t xml:space="preserve">Natural gas has been playing a key role in the energy transition era </w:t>
      </w:r>
      <w:r w:rsidR="0057630C">
        <w:rPr>
          <w:lang w:val="en-GB"/>
        </w:rPr>
        <w:fldChar w:fldCharType="begin"/>
      </w:r>
      <w:r w:rsidR="0057630C">
        <w:rPr>
          <w:lang w:val="en-GB"/>
        </w:rPr>
        <w:instrText xml:space="preserve"> ADDIN EN.CITE &lt;EndNote&gt;&lt;Cite&gt;&lt;Author&gt;Spatolisano&lt;/Author&gt;&lt;Year&gt;2021&lt;/Year&gt;&lt;RecNum&gt;1451&lt;/RecNum&gt;&lt;DisplayText&gt;(Spatolisano and Pellegrini, 2021)&lt;/DisplayText&gt;&lt;record&gt;&lt;rec-number&gt;1451&lt;/rec-number&gt;&lt;foreign-keys&gt;&lt;key app="EN" db-id="stz9sw5w2aavebe5dwyxrzpn9xfzftxr0ep2" timestamp="1669807632"&gt;1451&lt;/key&gt;&lt;/foreign-keys&gt;&lt;ref-type name="Journal Article"&gt;17&lt;/ref-type&gt;&lt;contributors&gt;&lt;authors&gt;&lt;author&gt;Spatolisano, Elvira&lt;/author&gt;&lt;author&gt;Pellegrini, Laura A&lt;/author&gt;&lt;/authors&gt;&lt;/contributors&gt;&lt;titles&gt;&lt;title&gt;&lt;style face="normal" font="default" size="100%"&gt;CO&lt;/style&gt;&lt;style face="subscript" font="default" size="100%"&gt;2&lt;/style&gt;&lt;style face="normal" font="default" size="100%"&gt;-Tolerant Cryogenic Nitrogen Rejection Schemes: Analysis of Their Performances&lt;/style&gt;&lt;/title&gt;&lt;secondary-title&gt;Industrial &amp;amp; Engineering Chemistry Research&lt;/secondary-title&gt;&lt;/titles&gt;&lt;periodical&gt;&lt;full-title&gt;Industrial &amp;amp; engineering chemistry research&lt;/full-title&gt;&lt;abbr-2&gt;Ind. Eng. Chem. Res.&lt;/abbr-2&gt;&lt;/periodical&gt;&lt;pages&gt;4420-4429&lt;/pages&gt;&lt;volume&gt;60&lt;/volume&gt;&lt;number&gt;11&lt;/number&gt;&lt;dates&gt;&lt;year&gt;2021&lt;/year&gt;&lt;/dates&gt;&lt;isbn&gt;0888-5885&lt;/isbn&gt;&lt;urls&gt;&lt;/urls&gt;&lt;/record&gt;&lt;/Cite&gt;&lt;/EndNote&gt;</w:instrText>
      </w:r>
      <w:r w:rsidR="0057630C">
        <w:rPr>
          <w:lang w:val="en-GB"/>
        </w:rPr>
        <w:fldChar w:fldCharType="separate"/>
      </w:r>
      <w:r w:rsidR="0057630C">
        <w:rPr>
          <w:noProof/>
          <w:lang w:val="en-GB"/>
        </w:rPr>
        <w:t>(Spatolisano and Pellegrini, 2021)</w:t>
      </w:r>
      <w:r w:rsidR="0057630C">
        <w:rPr>
          <w:lang w:val="en-GB"/>
        </w:rPr>
        <w:fldChar w:fldCharType="end"/>
      </w:r>
      <w:r w:rsidR="0057630C">
        <w:rPr>
          <w:lang w:val="en-GB"/>
        </w:rPr>
        <w:t xml:space="preserve"> </w:t>
      </w:r>
      <w:r w:rsidRPr="00E73C90">
        <w:rPr>
          <w:lang w:val="en-GB"/>
        </w:rPr>
        <w:t xml:space="preserve">and biogas is considered as a good alternative to it as an environmentally-friendly source of energy. Biogas can be turned into Liquid Biomethane (LBM), which </w:t>
      </w:r>
      <w:r w:rsidR="00B64DC6" w:rsidRPr="00B64DC6">
        <w:rPr>
          <w:lang w:val="en-GB"/>
        </w:rPr>
        <w:t>has been established to be a valid alternative to convention</w:t>
      </w:r>
      <w:r w:rsidR="001A7C3F">
        <w:rPr>
          <w:lang w:val="en-GB"/>
        </w:rPr>
        <w:t>al</w:t>
      </w:r>
      <w:r w:rsidR="00B64DC6" w:rsidRPr="00B64DC6">
        <w:rPr>
          <w:lang w:val="en-GB"/>
        </w:rPr>
        <w:t xml:space="preserve"> fossil fuels when directly used in the heavy transportation sector. In light of these considerations, recent energy policies have been developed for promoting its production. LBM production is a costly and energy intensive operation that encompasses two key processes: upgrading, where biogas is converted into biomethane</w:t>
      </w:r>
      <w:r>
        <w:rPr>
          <w:lang w:val="en-GB"/>
        </w:rPr>
        <w:t xml:space="preserve"> </w:t>
      </w:r>
      <w:r w:rsidR="00023767">
        <w:rPr>
          <w:lang w:val="en-GB"/>
        </w:rPr>
        <w:t xml:space="preserve">(BM) </w:t>
      </w:r>
      <w:r>
        <w:rPr>
          <w:lang w:val="en-GB"/>
        </w:rPr>
        <w:t>through CO</w:t>
      </w:r>
      <w:r w:rsidRPr="00E73C90">
        <w:rPr>
          <w:vertAlign w:val="subscript"/>
          <w:lang w:val="en-GB"/>
        </w:rPr>
        <w:t>2</w:t>
      </w:r>
      <w:r>
        <w:rPr>
          <w:lang w:val="en-GB"/>
        </w:rPr>
        <w:t xml:space="preserve"> removal</w:t>
      </w:r>
      <w:r w:rsidR="00B64DC6" w:rsidRPr="00B64DC6">
        <w:rPr>
          <w:lang w:val="en-GB"/>
        </w:rPr>
        <w:t xml:space="preserve">, and refrigeration, which transforms it into a liquid form. The </w:t>
      </w:r>
      <w:r>
        <w:rPr>
          <w:lang w:val="en-GB"/>
        </w:rPr>
        <w:t>CO</w:t>
      </w:r>
      <w:r w:rsidRPr="00E73C90">
        <w:rPr>
          <w:vertAlign w:val="subscript"/>
          <w:lang w:val="en-GB"/>
        </w:rPr>
        <w:t>2</w:t>
      </w:r>
      <w:r w:rsidR="00B64DC6" w:rsidRPr="00B64DC6">
        <w:rPr>
          <w:lang w:val="en-GB"/>
        </w:rPr>
        <w:t xml:space="preserve"> content in the biomethane to be liquefied cannot exceed 50 ppm to avoid freeze-out problems</w:t>
      </w:r>
      <w:r w:rsidR="005D573A">
        <w:rPr>
          <w:lang w:val="en-GB"/>
        </w:rPr>
        <w:t xml:space="preserve"> </w:t>
      </w:r>
      <w:r w:rsidR="005D573A">
        <w:rPr>
          <w:lang w:val="en-GB"/>
        </w:rPr>
        <w:fldChar w:fldCharType="begin">
          <w:fldData xml:space="preserve">PEVuZE5vdGU+PENpdGU+PEF1dGhvcj5EZSBHdWlkbzwvQXV0aG9yPjxZZWFyPjIwMjE8L1llYXI+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</w:fldData>
        </w:fldChar>
      </w:r>
      <w:r w:rsidR="005D573A">
        <w:rPr>
          <w:lang w:val="en-GB"/>
        </w:rPr>
        <w:instrText xml:space="preserve"> ADDIN EN.CITE </w:instrText>
      </w:r>
      <w:r w:rsidR="005D573A">
        <w:rPr>
          <w:lang w:val="en-GB"/>
        </w:rPr>
        <w:fldChar w:fldCharType="begin">
          <w:fldData xml:space="preserve">PEVuZE5vdGU+PENpdGU+PEF1dGhvcj5EZSBHdWlkbzwvQXV0aG9yPjxZZWFyPjIwMjE8L1llYXI+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</w:fldData>
        </w:fldChar>
      </w:r>
      <w:r w:rsidR="005D573A">
        <w:rPr>
          <w:lang w:val="en-GB"/>
        </w:rPr>
        <w:instrText xml:space="preserve"> ADDIN EN.CITE.DATA </w:instrText>
      </w:r>
      <w:r w:rsidR="005D573A">
        <w:rPr>
          <w:lang w:val="en-GB"/>
        </w:rPr>
      </w:r>
      <w:r w:rsidR="005D573A">
        <w:rPr>
          <w:lang w:val="en-GB"/>
        </w:rPr>
        <w:fldChar w:fldCharType="end"/>
      </w:r>
      <w:r w:rsidR="005D573A">
        <w:rPr>
          <w:lang w:val="en-GB"/>
        </w:rPr>
      </w:r>
      <w:r w:rsidR="005D573A">
        <w:rPr>
          <w:lang w:val="en-GB"/>
        </w:rPr>
        <w:fldChar w:fldCharType="separate"/>
      </w:r>
      <w:r w:rsidR="005D573A">
        <w:rPr>
          <w:noProof/>
          <w:lang w:val="en-GB"/>
        </w:rPr>
        <w:t>(De Guido and Spatolisano, 2021)</w:t>
      </w:r>
      <w:r w:rsidR="005D573A">
        <w:rPr>
          <w:lang w:val="en-GB"/>
        </w:rPr>
        <w:fldChar w:fldCharType="end"/>
      </w:r>
      <w:r w:rsidR="00B64DC6" w:rsidRPr="00B64DC6">
        <w:rPr>
          <w:lang w:val="en-GB"/>
        </w:rPr>
        <w:t>. Cryogenic upgrading stands out as one of the most promising technologies for biogas upgrading</w:t>
      </w:r>
      <w:r w:rsidR="00F33F3F">
        <w:rPr>
          <w:lang w:val="en-GB"/>
        </w:rPr>
        <w:t xml:space="preserve"> </w:t>
      </w:r>
      <w:r w:rsidR="00B64DC6" w:rsidRPr="00B64DC6">
        <w:rPr>
          <w:lang w:val="en-GB"/>
        </w:rPr>
        <w:t>due to its ability to produce biomethane at desired liquefa</w:t>
      </w:r>
      <w:r w:rsidR="00B64DC6" w:rsidRPr="00A61E42">
        <w:rPr>
          <w:lang w:val="en-GB"/>
        </w:rPr>
        <w:t>ction purities while minimizing methane losses. Moreover, the cooling requirements involved in the purification phase of biomethane are synergistic with its liquefaction process</w:t>
      </w:r>
      <w:r w:rsidR="004A67AF" w:rsidRPr="00A61E42">
        <w:rPr>
          <w:lang w:val="en-GB"/>
        </w:rPr>
        <w:t xml:space="preserve"> </w:t>
      </w:r>
      <w:r w:rsidR="006D12A1" w:rsidRPr="00A61E42">
        <w:rPr>
          <w:lang w:val="en-GB"/>
        </w:rPr>
        <w:t xml:space="preserve">and are about half of those involved in conventional </w:t>
      </w:r>
      <w:r w:rsidR="002038C5" w:rsidRPr="00A61E42">
        <w:rPr>
          <w:lang w:val="en-GB"/>
        </w:rPr>
        <w:t xml:space="preserve">upgrading </w:t>
      </w:r>
      <w:r w:rsidR="006D12A1" w:rsidRPr="00A61E42">
        <w:rPr>
          <w:lang w:val="en-GB"/>
        </w:rPr>
        <w:t>technologies</w:t>
      </w:r>
      <w:r w:rsidR="001A7C3F" w:rsidRPr="00A61E42">
        <w:rPr>
          <w:lang w:val="en-GB"/>
        </w:rPr>
        <w:t xml:space="preserve"> </w:t>
      </w:r>
      <w:r w:rsidR="004A67AF" w:rsidRPr="00A61E42">
        <w:rPr>
          <w:lang w:val="en-GB"/>
        </w:rPr>
        <w:fldChar w:fldCharType="begin"/>
      </w:r>
      <w:r w:rsidR="006D12A1" w:rsidRPr="00A61E42">
        <w:rPr>
          <w:lang w:val="en-GB"/>
        </w:rPr>
        <w:instrText xml:space="preserve"> ADDIN EN.CITE &lt;EndNote&gt;&lt;Cite&gt;&lt;Author&gt;Pellegrini&lt;/Author&gt;&lt;Year&gt;2018&lt;/Year&gt;&lt;RecNum&gt;1011&lt;/RecNum&gt;&lt;DisplayText&gt;(Pellegrini et al., 2018)&lt;/DisplayText&gt;&lt;record&gt;&lt;rec-number&gt;1011&lt;/rec-number&gt;&lt;foreign-keys&gt;&lt;key app="EN" db-id="stz9sw5w2aavebe5dwyxrzpn9xfzftxr0ep2" timestamp="1517003424"&gt;1011&lt;/key&gt;&lt;/foreign-keys&gt;&lt;ref-type name="Journal Article"&gt;17&lt;/ref-type&gt;&lt;contributors&gt;&lt;authors&gt;&lt;author&gt;Pellegrini, Laura Annamaria&lt;/author&gt;&lt;author&gt;De Guido, Giorgia&lt;/author&gt;&lt;author&gt;Langé, Stefano&lt;/author&gt;&lt;/authors&gt;&lt;/contributors&gt;&lt;titles&gt;&lt;title&gt;Biogas to liquefied biomethane via cryogenic upgrading technologies&lt;/title&gt;&lt;secondary-title&gt;Renewable Energy&lt;/secondary-title&gt;&lt;/titles&gt;&lt;periodical&gt;&lt;full-title&gt;Renewable Energy&lt;/full-title&gt;&lt;abbr-2&gt;Renew. Energ.&lt;/abbr-2&gt;&lt;/periodical&gt;&lt;pages&gt;75-83&lt;/pages&gt;&lt;volume&gt;124&lt;/volume&gt;&lt;dates&gt;&lt;year&gt;2018&lt;/year&gt;&lt;/dates&gt;&lt;isbn&gt;0960-1481&lt;/isbn&gt;&lt;urls&gt;&lt;/urls&gt;&lt;/record&gt;&lt;/Cite&gt;&lt;/EndNote&gt;</w:instrText>
      </w:r>
      <w:r w:rsidR="004A67AF" w:rsidRPr="00A61E42">
        <w:rPr>
          <w:lang w:val="en-GB"/>
        </w:rPr>
        <w:fldChar w:fldCharType="separate"/>
      </w:r>
      <w:r w:rsidR="006D12A1" w:rsidRPr="00A61E42">
        <w:rPr>
          <w:noProof/>
          <w:lang w:val="en-GB"/>
        </w:rPr>
        <w:t>(Pellegrini et al., 2018)</w:t>
      </w:r>
      <w:r w:rsidR="004A67AF" w:rsidRPr="00A61E42">
        <w:rPr>
          <w:lang w:val="en-GB"/>
        </w:rPr>
        <w:fldChar w:fldCharType="end"/>
      </w:r>
      <w:r w:rsidR="001A7C3F" w:rsidRPr="00A61E42">
        <w:rPr>
          <w:lang w:val="en-GB"/>
        </w:rPr>
        <w:t xml:space="preserve"> </w:t>
      </w:r>
      <w:r w:rsidR="001A7C3F" w:rsidRPr="00A61E42">
        <w:rPr>
          <w:lang w:val="en-GB"/>
        </w:rPr>
        <w:t>typically based on chemical absorption into aqueous amine solutions</w:t>
      </w:r>
      <w:r w:rsidR="001A7C3F" w:rsidRPr="00A61E42">
        <w:rPr>
          <w:lang w:val="en-GB"/>
        </w:rPr>
        <w:t xml:space="preserve"> </w:t>
      </w:r>
      <w:r w:rsidR="001A7C3F" w:rsidRPr="00A61E42">
        <w:rPr>
          <w:lang w:val="en-GB"/>
        </w:rPr>
        <w:fldChar w:fldCharType="begin"/>
      </w:r>
      <w:r w:rsidR="00933C93" w:rsidRPr="00A61E42">
        <w:rPr>
          <w:lang w:val="en-GB"/>
        </w:rPr>
        <w:instrText xml:space="preserve"> ADDIN EN.CITE &lt;EndNote&gt;&lt;Cite&gt;&lt;Author&gt;Moioli&lt;/Author&gt;&lt;Year&gt;2024&lt;/Year&gt;&lt;RecNum&gt;2032&lt;/RecNum&gt;&lt;DisplayText&gt;(Moioli et al., 2024)&lt;/DisplayText&gt;&lt;record&gt;&lt;rec-number&gt;2032&lt;/rec-number&gt;&lt;foreign-keys&gt;&lt;key app="EN" db-id="stz9sw5w2aavebe5dwyxrzpn9xfzftxr0ep2" timestamp="1744737627"&gt;2032&lt;/key&gt;&lt;/foreign-keys&gt;&lt;ref-type name="Journal Article"&gt;17&lt;/ref-type&gt;&lt;contributors&gt;&lt;authors&gt;&lt;author&gt;Moioli, Stefania&lt;/author&gt;&lt;author&gt;De Guido, Giorgia&lt;/author&gt;&lt;author&gt;Pellegrini, Laura A&lt;/author&gt;&lt;author&gt;Fasola, Elisabetta&lt;/author&gt;&lt;author&gt;Riva, Elena Redolfi&lt;/author&gt;&lt;author&gt;Alberti, Davide&lt;/author&gt;&lt;author&gt;Carrara, Adriano&lt;/author&gt;&lt;/authors&gt;&lt;/contributors&gt;&lt;titles&gt;&lt;title&gt;&lt;style face="normal" font="default" size="100%"&gt;Techno-economic assessment of the CO&lt;/style&gt;&lt;style face="subscript" font="default" size="100%"&gt;2&lt;/style&gt;&lt;style face="normal" font="default" size="100%"&gt; value chain with CCUS applied to a waste-to-energy Italian plant&lt;/style&gt;&lt;/title&gt;&lt;secondary-title&gt;Chemical Engineering Science&lt;/secondary-title&gt;&lt;/titles&gt;&lt;periodical&gt;&lt;full-title&gt;Chemical Engineering Science&lt;/full-title&gt;&lt;abbr-2&gt;Chem. Eng. Sci.&lt;/abbr-2&gt;&lt;/periodical&gt;&lt;pages&gt;119717&lt;/pages&gt;&lt;volume&gt;287&lt;/volume&gt;&lt;dates&gt;&lt;year&gt;2024&lt;/year&gt;&lt;/dates&gt;&lt;isbn&gt;0009-2509&lt;/isbn&gt;&lt;urls&gt;&lt;/urls&gt;&lt;/record&gt;&lt;/Cite&gt;&lt;/EndNote&gt;</w:instrText>
      </w:r>
      <w:r w:rsidR="001A7C3F" w:rsidRPr="00A61E42">
        <w:rPr>
          <w:lang w:val="en-GB"/>
        </w:rPr>
        <w:fldChar w:fldCharType="separate"/>
      </w:r>
      <w:r w:rsidR="001A7C3F" w:rsidRPr="00A61E42">
        <w:rPr>
          <w:noProof/>
          <w:lang w:val="en-GB"/>
        </w:rPr>
        <w:t>(Moioli et al., 2024)</w:t>
      </w:r>
      <w:r w:rsidR="001A7C3F" w:rsidRPr="00A61E42">
        <w:rPr>
          <w:lang w:val="en-GB"/>
        </w:rPr>
        <w:fldChar w:fldCharType="end"/>
      </w:r>
      <w:r w:rsidR="00B64DC6" w:rsidRPr="00A61E42">
        <w:rPr>
          <w:lang w:val="en-GB"/>
        </w:rPr>
        <w:t xml:space="preserve">. Another advantage is represented by the high purity and pressure at which the </w:t>
      </w:r>
      <w:r w:rsidR="00023767" w:rsidRPr="00A61E42">
        <w:rPr>
          <w:lang w:val="en-GB"/>
        </w:rPr>
        <w:t>CO</w:t>
      </w:r>
      <w:r w:rsidR="00023767" w:rsidRPr="00A61E42">
        <w:rPr>
          <w:vertAlign w:val="subscript"/>
          <w:lang w:val="en-GB"/>
        </w:rPr>
        <w:t>2</w:t>
      </w:r>
      <w:r w:rsidR="00B64DC6" w:rsidRPr="00A61E42">
        <w:rPr>
          <w:lang w:val="en-GB"/>
        </w:rPr>
        <w:t xml:space="preserve"> by-product is obtained, which enables its selling to the food </w:t>
      </w:r>
      <w:r w:rsidR="00023767" w:rsidRPr="00A61E42">
        <w:rPr>
          <w:lang w:val="en-GB"/>
        </w:rPr>
        <w:t>and</w:t>
      </w:r>
      <w:r w:rsidR="00B64DC6" w:rsidRPr="00A61E42">
        <w:rPr>
          <w:lang w:val="en-GB"/>
        </w:rPr>
        <w:t xml:space="preserve"> beverage industry or its </w:t>
      </w:r>
      <w:r w:rsidR="00023767" w:rsidRPr="00A61E42">
        <w:rPr>
          <w:lang w:val="en-GB"/>
        </w:rPr>
        <w:t>use</w:t>
      </w:r>
      <w:r w:rsidR="00B64DC6" w:rsidRPr="00A61E42">
        <w:rPr>
          <w:lang w:val="en-GB"/>
        </w:rPr>
        <w:t xml:space="preserve"> as a pre-cooling refrigerant to be integrated in the liquefaction phase without addition of any energy expenditure.</w:t>
      </w:r>
      <w:r w:rsidR="00023767" w:rsidRPr="00A61E42">
        <w:rPr>
          <w:lang w:val="en-GB"/>
        </w:rPr>
        <w:t xml:space="preserve"> Despite the importance cryogenic biogas upgrading has been gaining, refrigeration cycles are optimized to treat a biomethane stream that has undergone upgrading by a conventional process, which is available at ambient conditions. Therefore, there is the need to optimize the biomethane stream produced by these novel upgrading technologies.</w:t>
      </w:r>
      <w:r w:rsidR="00B64DC6" w:rsidRPr="00A61E42">
        <w:rPr>
          <w:lang w:val="en-GB"/>
        </w:rPr>
        <w:t xml:space="preserve"> The objective of this work is to </w:t>
      </w:r>
      <w:r w:rsidR="00023767" w:rsidRPr="00A61E42">
        <w:rPr>
          <w:lang w:val="en-GB"/>
        </w:rPr>
        <w:t xml:space="preserve">perform this optimization for </w:t>
      </w:r>
      <w:r w:rsidR="00B64DC6" w:rsidRPr="00A61E42">
        <w:rPr>
          <w:lang w:val="en-GB"/>
        </w:rPr>
        <w:t xml:space="preserve">different </w:t>
      </w:r>
      <w:r w:rsidR="00187DD6" w:rsidRPr="00A61E42">
        <w:rPr>
          <w:lang w:val="en-GB"/>
        </w:rPr>
        <w:t xml:space="preserve">refrigeration </w:t>
      </w:r>
      <w:r w:rsidR="00B64DC6" w:rsidRPr="00A61E42">
        <w:rPr>
          <w:lang w:val="en-GB"/>
        </w:rPr>
        <w:t xml:space="preserve">cycles mainly based on </w:t>
      </w:r>
      <w:r w:rsidR="00831E51" w:rsidRPr="00A61E42">
        <w:rPr>
          <w:lang w:val="en-GB"/>
        </w:rPr>
        <w:t xml:space="preserve">nitrogen </w:t>
      </w:r>
      <w:r w:rsidR="00B64DC6" w:rsidRPr="00A61E42">
        <w:rPr>
          <w:lang w:val="en-GB"/>
        </w:rPr>
        <w:t xml:space="preserve">expansion and on the </w:t>
      </w:r>
      <w:proofErr w:type="gramStart"/>
      <w:r w:rsidR="00B64DC6" w:rsidRPr="00A61E42">
        <w:rPr>
          <w:lang w:val="en-GB"/>
        </w:rPr>
        <w:t>Claude</w:t>
      </w:r>
      <w:proofErr w:type="gramEnd"/>
      <w:r w:rsidR="00B64DC6" w:rsidRPr="00A61E42">
        <w:rPr>
          <w:lang w:val="en-GB"/>
        </w:rPr>
        <w:t xml:space="preserve"> cycle taking into account the biomethane liquefaction duty.</w:t>
      </w:r>
    </w:p>
    <w:p w14:paraId="5741900F" w14:textId="429F8708" w:rsidR="00453E24" w:rsidRDefault="00B64DC6" w:rsidP="00453E24">
      <w:pPr>
        <w:pStyle w:val="CETHeading1"/>
      </w:pPr>
      <w:r>
        <w:lastRenderedPageBreak/>
        <w:t>Methods</w:t>
      </w:r>
    </w:p>
    <w:p w14:paraId="00054343" w14:textId="4E375BA9" w:rsidR="00B64DC6" w:rsidRDefault="00B64DC6" w:rsidP="00B64DC6">
      <w:pPr>
        <w:pStyle w:val="CETBodytext"/>
      </w:pPr>
      <w:r>
        <w:t>Finding the optimal parameters of liquefaction cycles is of fundamental importance for the liquefaction gas industry. In the following, the adopted optimization method is described.</w:t>
      </w:r>
    </w:p>
    <w:p w14:paraId="0BE05BC0" w14:textId="5048B2D2" w:rsidR="00B64DC6" w:rsidRPr="00856DA1" w:rsidRDefault="00B64DC6" w:rsidP="00B64DC6">
      <w:pPr>
        <w:pStyle w:val="CETBodytext"/>
      </w:pPr>
      <w:r>
        <w:t xml:space="preserve">In general, gradient-based solvers such as the Newton method or gradient method are typically valuable tools for tackling optimization problems. However, they do encounter challenges when faced with highly non-linear objective functions, as is the case in liquefaction cycle optimization </w:t>
      </w:r>
      <w:r w:rsidR="00DC38B3">
        <w:fldChar w:fldCharType="begin"/>
      </w:r>
      <w:r w:rsidR="00D53FE2">
        <w:instrText xml:space="preserve"> ADDIN EN.CITE &lt;EndNote&gt;&lt;Cite&gt;&lt;Author&gt;Mitchell&lt;/Author&gt;&lt;Year&gt;1998&lt;/Year&gt;&lt;RecNum&gt;2027&lt;/RecNum&gt;&lt;DisplayText&gt;(Mitchell, 1998)&lt;/DisplayText&gt;&lt;record&gt;&lt;rec-number&gt;2027&lt;/rec-number&gt;&lt;foreign-keys&gt;&lt;key app="EN" db-id="stz9sw5w2aavebe5dwyxrzpn9xfzftxr0ep2" timestamp="1737908495"&gt;2027&lt;/key&gt;&lt;/foreign-keys&gt;&lt;ref-type name="Book"&gt;6&lt;/ref-type&gt;&lt;contributors&gt;&lt;authors&gt;&lt;author&gt;Mitchell, Melanie&lt;/author&gt;&lt;/authors&gt;&lt;/contributors&gt;&lt;titles&gt;&lt;title&gt;An introduction to genetic algorithms&lt;/title&gt;&lt;/titles&gt;&lt;dates&gt;&lt;year&gt;1998&lt;/year&gt;&lt;/dates&gt;&lt;publisher&gt;MIT press&lt;/publisher&gt;&lt;isbn&gt;0262631857&lt;/isbn&gt;&lt;urls&gt;&lt;/urls&gt;&lt;/record&gt;&lt;/Cite&gt;&lt;/EndNote&gt;</w:instrText>
      </w:r>
      <w:r w:rsidR="00DC38B3">
        <w:fldChar w:fldCharType="separate"/>
      </w:r>
      <w:r w:rsidR="00D53FE2">
        <w:rPr>
          <w:noProof/>
        </w:rPr>
        <w:t>(Mitchell, 1998)</w:t>
      </w:r>
      <w:r w:rsidR="00DC38B3">
        <w:fldChar w:fldCharType="end"/>
      </w:r>
      <w:r>
        <w:t>. To overcome this problem, the choice of the optimization method moved towards one of the optimization algorithms based on global search techniques. In this work, the widely recognized Genetic Algorithm (GA) has been chosen due to its prevalent usage in the literature for similar objectives</w:t>
      </w:r>
      <w:r w:rsidR="00DC38B3">
        <w:t xml:space="preserve"> </w:t>
      </w:r>
      <w:r w:rsidR="00DC38B3">
        <w:fldChar w:fldCharType="begin"/>
      </w:r>
      <w:r w:rsidR="00D53FE2">
        <w:instrText xml:space="preserve"> ADDIN EN.CITE &lt;EndNote&gt;&lt;Cite&gt;&lt;Author&gt;Abdelhamid&lt;/Author&gt;&lt;Year&gt;2017&lt;/Year&gt;&lt;RecNum&gt;2028&lt;/RecNum&gt;&lt;DisplayText&gt;(Abdelhamid et al., 2017)&lt;/DisplayText&gt;&lt;record&gt;&lt;rec-number&gt;2028&lt;/rec-number&gt;&lt;foreign-keys&gt;&lt;key app="EN" db-id="stz9sw5w2aavebe5dwyxrzpn9xfzftxr0ep2" timestamp="1737908570"&gt;2028&lt;/key&gt;&lt;/foreign-keys&gt;&lt;ref-type name="Journal Article"&gt;17&lt;/ref-type&gt;&lt;contributors&gt;&lt;authors&gt;&lt;author&gt;Abdelhamid, MI&lt;/author&gt;&lt;author&gt;Ghallab, AO&lt;/author&gt;&lt;author&gt;Ettouney, RS&lt;/author&gt;&lt;author&gt;El-Rifai, MA&lt;/author&gt;&lt;/authors&gt;&lt;/contributors&gt;&lt;titles&gt;&lt;title&gt;Genetic Algorithm Optimization of a Small Scale Natural Gas Liquefaction Process&lt;/title&gt;&lt;secondary-title&gt;International Journal of Chemical and Molecular Engineering&lt;/secondary-title&gt;&lt;/titles&gt;&lt;periodical&gt;&lt;full-title&gt;International Journal of Chemical and Molecular Engineering&lt;/full-title&gt;&lt;/periodical&gt;&lt;pages&gt;574-578&lt;/pages&gt;&lt;volume&gt;11&lt;/volume&gt;&lt;number&gt;8&lt;/number&gt;&lt;dates&gt;&lt;year&gt;2017&lt;/year&gt;&lt;/dates&gt;&lt;urls&gt;&lt;/urls&gt;&lt;/record&gt;&lt;/Cite&gt;&lt;/EndNote&gt;</w:instrText>
      </w:r>
      <w:r w:rsidR="00DC38B3">
        <w:fldChar w:fldCharType="separate"/>
      </w:r>
      <w:r w:rsidR="00D53FE2">
        <w:rPr>
          <w:noProof/>
        </w:rPr>
        <w:t>(Abdelhamid et al., 2017)</w:t>
      </w:r>
      <w:r w:rsidR="00DC38B3">
        <w:fldChar w:fldCharType="end"/>
      </w:r>
      <w:r>
        <w:t xml:space="preserve">. The algorithm has been </w:t>
      </w:r>
      <w:r w:rsidR="00CB06A5">
        <w:t>applied</w:t>
      </w:r>
      <w:r>
        <w:t xml:space="preserve"> thanks to the toolbox </w:t>
      </w:r>
      <w:r w:rsidR="00CB06A5">
        <w:t xml:space="preserve">available </w:t>
      </w:r>
      <w:r>
        <w:t>in MATLAB</w:t>
      </w:r>
      <w:r w:rsidRPr="00DC38B3">
        <w:rPr>
          <w:vertAlign w:val="superscript"/>
        </w:rPr>
        <w:t>®</w:t>
      </w:r>
      <w:r>
        <w:t xml:space="preserve">, while the simulation of the cycles has been </w:t>
      </w:r>
      <w:r w:rsidR="00CB06A5">
        <w:t>performed</w:t>
      </w:r>
      <w:r>
        <w:t xml:space="preserve"> in Aspen HYSYS</w:t>
      </w:r>
      <w:r w:rsidRPr="00DC38B3">
        <w:rPr>
          <w:vertAlign w:val="superscript"/>
        </w:rPr>
        <w:t>®</w:t>
      </w:r>
      <w:r>
        <w:t xml:space="preserve"> V11 </w:t>
      </w:r>
      <w:r w:rsidR="00DC38B3">
        <w:fldChar w:fldCharType="begin"/>
      </w:r>
      <w:r w:rsidR="00D53FE2">
        <w:instrText xml:space="preserve"> ADDIN EN.CITE &lt;EndNote&gt;&lt;Cite&gt;&lt;Author&gt;AspenTech&lt;/Author&gt;&lt;Year&gt;2019&lt;/Year&gt;&lt;RecNum&gt;1340&lt;/RecNum&gt;&lt;DisplayText&gt;(AspenTech, 2019)&lt;/DisplayText&gt;&lt;record&gt;&lt;rec-number&gt;1340&lt;/rec-number&gt;&lt;foreign-keys&gt;&lt;key app="EN" db-id="stz9sw5w2aavebe5dwyxrzpn9xfzftxr0ep2" timestamp="1643275122"&gt;1340&lt;/key&gt;&lt;/foreign-keys&gt;&lt;ref-type name="Journal Article"&gt;17&lt;/ref-type&gt;&lt;contributors&gt;&lt;authors&gt;&lt;author&gt;AspenTech&lt;/author&gt;&lt;/authors&gt;&lt;/contributors&gt;&lt;titles&gt;&lt;title&gt;&lt;style face="normal" font="default" size="100%"&gt;Aspen HYSYS&lt;/style&gt;&lt;style face="superscript" font="default" size="100%"&gt;®&lt;/style&gt;&lt;style face="normal" font="default" size="100%"&gt;, Burlington (MA), United States&lt;/style&gt;&lt;/title&gt;&lt;/titles&gt;&lt;dates&gt;&lt;year&gt;2019&lt;/year&gt;&lt;/dates&gt;&lt;urls&gt;&lt;/urls&gt;&lt;/record&gt;&lt;/Cite&gt;&lt;/EndNote&gt;</w:instrText>
      </w:r>
      <w:r w:rsidR="00DC38B3">
        <w:fldChar w:fldCharType="separate"/>
      </w:r>
      <w:r w:rsidR="00D53FE2">
        <w:rPr>
          <w:noProof/>
        </w:rPr>
        <w:t>(AspenTech, 2019)</w:t>
      </w:r>
      <w:r w:rsidR="00DC38B3">
        <w:fldChar w:fldCharType="end"/>
      </w:r>
      <w:r>
        <w:t>. The link between MATLAB</w:t>
      </w:r>
      <w:r w:rsidRPr="00DC38B3">
        <w:rPr>
          <w:vertAlign w:val="superscript"/>
        </w:rPr>
        <w:t>®</w:t>
      </w:r>
      <w:r>
        <w:t xml:space="preserve"> and Aspen HYSYS</w:t>
      </w:r>
      <w:r w:rsidRPr="00F33F3F">
        <w:rPr>
          <w:vertAlign w:val="superscript"/>
        </w:rPr>
        <w:t>®</w:t>
      </w:r>
      <w:r>
        <w:t xml:space="preserve"> </w:t>
      </w:r>
      <w:r w:rsidR="00DC38B3">
        <w:t>has been</w:t>
      </w:r>
      <w:r>
        <w:t xml:space="preserve"> established through the ActiveX technology (COM), which creates a dialogue window through which MATLAB</w:t>
      </w:r>
      <w:r w:rsidRPr="00DC38B3">
        <w:rPr>
          <w:vertAlign w:val="superscript"/>
        </w:rPr>
        <w:t>®</w:t>
      </w:r>
      <w:r>
        <w:t xml:space="preserve"> and Aspen HYSYS</w:t>
      </w:r>
      <w:r w:rsidRPr="00DC38B3">
        <w:rPr>
          <w:vertAlign w:val="superscript"/>
        </w:rPr>
        <w:t>®</w:t>
      </w:r>
      <w:r>
        <w:t xml:space="preserve"> are capable </w:t>
      </w:r>
      <w:r w:rsidRPr="00856DA1">
        <w:t>to exchange variables</w:t>
      </w:r>
      <w:r w:rsidR="004A67AF" w:rsidRPr="00856DA1">
        <w:t xml:space="preserve"> </w:t>
      </w:r>
      <w:r w:rsidR="004A67AF" w:rsidRPr="00856DA1">
        <w:fldChar w:fldCharType="begin"/>
      </w:r>
      <w:r w:rsidR="005219BA">
        <w:instrText xml:space="preserve"> ADDIN EN.CITE &lt;EndNote&gt;&lt;Cite&gt;&lt;Author&gt;De Guido&lt;/Author&gt;&lt;Year&gt;2019&lt;/Year&gt;&lt;RecNum&gt;2031&lt;/RecNum&gt;&lt;DisplayText&gt;(De Guido and Pellegrini, 2019)&lt;/DisplayText&gt;&lt;record&gt;&lt;rec-number&gt;2031&lt;/rec-number&gt;&lt;foreign-keys&gt;&lt;key app="EN" db-id="stz9sw5w2aavebe5dwyxrzpn9xfzftxr0ep2" timestamp="1737916289"&gt;2031&lt;/key&gt;&lt;/foreign-keys&gt;&lt;ref-type name="Journal Article"&gt;17&lt;/ref-type&gt;&lt;contributors&gt;&lt;authors&gt;&lt;author&gt;De Guido, Giorgia&lt;/author&gt;&lt;author&gt;Pellegrini, Laura Annamaria&lt;/author&gt;&lt;/authors&gt;&lt;/contributors&gt;&lt;titles&gt;&lt;title&gt;Study of Liquefied Natural Gas production Cycles for Novel Low-Temperature Natural Gas Purification Processes&lt;/title&gt;&lt;secondary-title&gt;Chemical Engineering Transactions&lt;/secondary-title&gt;&lt;/titles&gt;&lt;periodical&gt;&lt;full-title&gt;Chemical Engineering Transactions&lt;/full-title&gt;&lt;abbr-2&gt;Chem. Eng. Trans.&lt;/abbr-2&gt;&lt;abbr-3&gt;Chem Eng Trans&lt;/abbr-3&gt;&lt;/periodical&gt;&lt;pages&gt;865-870&lt;/pages&gt;&lt;volume&gt;74&lt;/volume&gt;&lt;dates&gt;&lt;year&gt;2019&lt;/year&gt;&lt;/dates&gt;&lt;isbn&gt;1974-9791&lt;/isbn&gt;&lt;urls&gt;&lt;/urls&gt;&lt;/record&gt;&lt;/Cite&gt;&lt;/EndNote&gt;</w:instrText>
      </w:r>
      <w:r w:rsidR="004A67AF" w:rsidRPr="00856DA1">
        <w:fldChar w:fldCharType="separate"/>
      </w:r>
      <w:r w:rsidR="004A67AF" w:rsidRPr="00856DA1">
        <w:rPr>
          <w:noProof/>
        </w:rPr>
        <w:t>(De Guido and Pellegrini, 2019)</w:t>
      </w:r>
      <w:r w:rsidR="004A67AF" w:rsidRPr="00856DA1">
        <w:fldChar w:fldCharType="end"/>
      </w:r>
      <w:r w:rsidRPr="00856DA1">
        <w:t>.</w:t>
      </w:r>
    </w:p>
    <w:p w14:paraId="20B1BA3A" w14:textId="431F863F" w:rsidR="00E152C4" w:rsidRPr="00856DA1" w:rsidRDefault="00B920EB" w:rsidP="00B64DC6">
      <w:pPr>
        <w:pStyle w:val="CETBodytext"/>
      </w:pPr>
      <w:r w:rsidRPr="00856DA1">
        <w:t>Since the goal is to minimize the energy input required by the refrigeration cycles responsible for providing the necessary cooling duty for biomethane liquefaction, t</w:t>
      </w:r>
      <w:r w:rsidR="00E152C4" w:rsidRPr="00856DA1">
        <w:t xml:space="preserve">he objective function to be minimized has been defined according to </w:t>
      </w:r>
      <w:proofErr w:type="gramStart"/>
      <w:r w:rsidR="00E152C4" w:rsidRPr="00856DA1">
        <w:t>Eq(</w:t>
      </w:r>
      <w:proofErr w:type="gramEnd"/>
      <w:r w:rsidR="00E152C4" w:rsidRPr="00856DA1">
        <w:t>1):</w:t>
      </w:r>
    </w:p>
    <w:tbl>
      <w:tblPr>
        <w:tblW w:w="5000" w:type="pct"/>
        <w:tblLook w:val="04A0" w:firstRow="1" w:lastRow="0" w:firstColumn="1" w:lastColumn="0" w:noHBand="0" w:noVBand="1"/>
      </w:tblPr>
      <w:tblGrid>
        <w:gridCol w:w="7983"/>
        <w:gridCol w:w="804"/>
      </w:tblGrid>
      <w:tr w:rsidR="00F71462" w:rsidRPr="00856DA1" w14:paraId="58402D0D" w14:textId="77777777" w:rsidTr="00B920EB">
        <w:tc>
          <w:tcPr>
            <w:tcW w:w="7983" w:type="dxa"/>
            <w:shd w:val="clear" w:color="auto" w:fill="auto"/>
            <w:vAlign w:val="center"/>
          </w:tcPr>
          <w:p w14:paraId="7D6FD186" w14:textId="777B2FC3" w:rsidR="00B920EB" w:rsidRPr="00856DA1" w:rsidRDefault="00C63523" w:rsidP="00B920EB">
            <w:pPr>
              <w:pStyle w:val="CETEquation"/>
            </w:pPr>
            <m:oMathPara>
              <m:oMathParaPr>
                <m:jc m:val="left"/>
              </m:oMathParaPr>
              <m:oMath>
                <m:sSub>
                  <m:sSubPr>
                    <m:ctrlPr>
                      <w:rPr>
                        <w:rFonts w:ascii="Cambria Math" w:hAnsi="Cambria Math"/>
                        <w:i/>
                      </w:rPr>
                    </m:ctrlPr>
                  </m:sSubPr>
                  <m:e>
                    <m:r>
                      <w:rPr>
                        <w:rFonts w:ascii="Cambria Math" w:hAnsi="Cambria Math"/>
                      </w:rPr>
                      <m:t>f</m:t>
                    </m:r>
                  </m:e>
                  <m:sub>
                    <m:r>
                      <w:rPr>
                        <w:rFonts w:ascii="Cambria Math" w:hAnsi="Cambria Math"/>
                      </w:rPr>
                      <m:t>ob</m:t>
                    </m:r>
                  </m:sub>
                </m:sSub>
                <m:d>
                  <m:dPr>
                    <m:ctrlPr>
                      <w:rPr>
                        <w:rFonts w:ascii="Cambria Math" w:hAnsi="Cambria Math"/>
                        <w:i/>
                      </w:rPr>
                    </m:ctrlPr>
                  </m:dPr>
                  <m:e>
                    <m:r>
                      <m:rPr>
                        <m:sty m:val="bi"/>
                      </m:rPr>
                      <w:rPr>
                        <w:rFonts w:ascii="Cambria Math" w:hAnsi="Cambria Math"/>
                      </w:rPr>
                      <m:t>x</m:t>
                    </m:r>
                  </m:e>
                </m:d>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C</m:t>
                        </m:r>
                      </m:sub>
                    </m:sSub>
                  </m:e>
                </m:nary>
                <m:r>
                  <w:rPr>
                    <w:rFonts w:ascii="Cambria Math" w:hAnsi="Cambria Math"/>
                  </w:rPr>
                  <m:t>-</m:t>
                </m:r>
                <m:nary>
                  <m:naryPr>
                    <m:chr m:val="∑"/>
                    <m:limLoc m:val="undOvr"/>
                    <m:subHide m:val="1"/>
                    <m:supHide m:val="1"/>
                    <m:ctrlPr>
                      <w:rPr>
                        <w:rFonts w:ascii="Cambria Math" w:hAnsi="Cambria Math"/>
                        <w:i/>
                      </w:rPr>
                    </m:ctrlPr>
                  </m:naryPr>
                  <m:sub/>
                  <m:sup/>
                  <m:e>
                    <m:sSub>
                      <m:sSubPr>
                        <m:ctrlPr>
                          <w:rPr>
                            <w:rFonts w:ascii="Cambria Math" w:hAnsi="Cambria Math"/>
                            <w:i/>
                          </w:rPr>
                        </m:ctrlPr>
                      </m:sSubPr>
                      <m:e>
                        <m:r>
                          <w:rPr>
                            <w:rFonts w:ascii="Cambria Math" w:hAnsi="Cambria Math"/>
                          </w:rPr>
                          <m:t>W</m:t>
                        </m:r>
                      </m:e>
                      <m:sub>
                        <m:r>
                          <w:rPr>
                            <w:rFonts w:ascii="Cambria Math" w:hAnsi="Cambria Math"/>
                          </w:rPr>
                          <m:t>T</m:t>
                        </m:r>
                      </m:sub>
                    </m:sSub>
                  </m:e>
                </m:nary>
              </m:oMath>
            </m:oMathPara>
          </w:p>
        </w:tc>
        <w:tc>
          <w:tcPr>
            <w:tcW w:w="804" w:type="dxa"/>
            <w:shd w:val="clear" w:color="auto" w:fill="auto"/>
            <w:vAlign w:val="center"/>
          </w:tcPr>
          <w:p w14:paraId="45C601CF" w14:textId="77777777" w:rsidR="00F71462" w:rsidRPr="00856DA1" w:rsidRDefault="00F71462" w:rsidP="004C7366">
            <w:pPr>
              <w:pStyle w:val="CETEquation"/>
              <w:jc w:val="right"/>
            </w:pPr>
            <w:r w:rsidRPr="00856DA1">
              <w:t>(1)</w:t>
            </w:r>
          </w:p>
        </w:tc>
      </w:tr>
    </w:tbl>
    <w:p w14:paraId="17AD895B" w14:textId="1FDA3D3B" w:rsidR="00B920EB" w:rsidRPr="00856DA1" w:rsidRDefault="00B920EB" w:rsidP="00B920EB">
      <w:pPr>
        <w:pStyle w:val="CETBodytext"/>
      </w:pPr>
      <w:r w:rsidRPr="00856DA1">
        <w:t xml:space="preserve">where </w:t>
      </w:r>
      <w:r w:rsidRPr="00856DA1">
        <w:rPr>
          <w:rFonts w:ascii="Cambria Math" w:hAnsi="Cambria Math" w:cs="Cambria Math"/>
        </w:rPr>
        <w:t>𝑥</w:t>
      </w:r>
      <w:r w:rsidRPr="00856DA1">
        <w:t xml:space="preserve"> is the vector of parameters to be optimized, while the two summations on the right-hand side</w:t>
      </w:r>
      <w:r w:rsidR="00415290">
        <w:t>,</w:t>
      </w:r>
      <w:r w:rsidRPr="00856DA1">
        <w:t xml:space="preserve"> respectively</w:t>
      </w:r>
      <w:r w:rsidR="00415290">
        <w:t>,</w:t>
      </w:r>
      <w:r w:rsidRPr="00856DA1">
        <w:t xml:space="preserve"> denote the overall power consumed by compressors and generated by turbines.</w:t>
      </w:r>
    </w:p>
    <w:p w14:paraId="49127F58" w14:textId="4368AB1A" w:rsidR="00B64DC6" w:rsidRPr="00856DA1" w:rsidRDefault="00BD4E9A" w:rsidP="00684D29">
      <w:pPr>
        <w:pStyle w:val="CETBodytext"/>
      </w:pPr>
      <w:r w:rsidRPr="00856DA1">
        <w:t xml:space="preserve">However, the optimal combination of decision variables must adhere to </w:t>
      </w:r>
      <w:r w:rsidR="00244536" w:rsidRPr="00856DA1">
        <w:t>some</w:t>
      </w:r>
      <w:r w:rsidRPr="00856DA1">
        <w:t xml:space="preserve"> feasibility constraint</w:t>
      </w:r>
      <w:r w:rsidR="00244536" w:rsidRPr="00856DA1">
        <w:t xml:space="preserve">s. One of them </w:t>
      </w:r>
      <w:r w:rsidRPr="00856DA1">
        <w:t>requires that the Minimum Temperature Approach (MITA) in heat exchangers exceed</w:t>
      </w:r>
      <w:r w:rsidR="00415290">
        <w:t>s</w:t>
      </w:r>
      <w:r w:rsidRPr="00856DA1">
        <w:t xml:space="preserve"> a specified minimum threshold assumed to be 3 °C</w:t>
      </w:r>
      <w:r w:rsidR="00244536" w:rsidRPr="00856DA1">
        <w:t xml:space="preserve">. Another constraint to be </w:t>
      </w:r>
      <w:r w:rsidR="00931490">
        <w:t>considered</w:t>
      </w:r>
      <w:r w:rsidR="00244536" w:rsidRPr="00856DA1">
        <w:t xml:space="preserve"> when dealing with inter-refrigerated compression consists in having a continuously increasing pressure across the compression process. </w:t>
      </w:r>
      <w:r w:rsidRPr="00856DA1">
        <w:t>The most suitable way to deal with this kind of constrained problems, especially when the</w:t>
      </w:r>
      <w:r w:rsidR="00244536" w:rsidRPr="00856DA1">
        <w:t xml:space="preserve"> </w:t>
      </w:r>
      <w:r w:rsidRPr="00856DA1">
        <w:t xml:space="preserve">optimization is operated through evolutionary algorithms, is to introduce a penalty function </w:t>
      </w:r>
      <w:r w:rsidR="00856DA1" w:rsidRPr="00856DA1">
        <w:rPr>
          <w:rFonts w:cs="Arial"/>
        </w:rPr>
        <w:t>φ</w:t>
      </w:r>
      <w:r w:rsidR="00856DA1" w:rsidRPr="00856DA1">
        <w:t xml:space="preserve"> </w:t>
      </w:r>
      <w:r w:rsidRPr="00856DA1">
        <w:t>to be added to the original objective function</w:t>
      </w:r>
      <w:r w:rsidR="00684D29" w:rsidRPr="00856DA1">
        <w:t>, which consists in introducing a penalization to the original function whenever the specified constraint is violated.</w:t>
      </w:r>
      <w:r w:rsidR="00781EE0" w:rsidRPr="00856DA1">
        <w:t xml:space="preserve"> </w:t>
      </w:r>
      <w:r w:rsidRPr="00856DA1">
        <w:t>In this way</w:t>
      </w:r>
      <w:r w:rsidR="00431DA7">
        <w:t>,</w:t>
      </w:r>
      <w:r w:rsidRPr="00856DA1">
        <w:t xml:space="preserve"> the optimization will be performed in the modified objective function, in which all constraints are included.</w:t>
      </w:r>
    </w:p>
    <w:p w14:paraId="2ECF9629" w14:textId="7E0DB58E" w:rsidR="00BD4E9A" w:rsidRPr="00856DA1" w:rsidRDefault="00244536" w:rsidP="00244536">
      <w:pPr>
        <w:pStyle w:val="CETBodytext"/>
      </w:pPr>
      <w:r w:rsidRPr="00856DA1">
        <w:t xml:space="preserve">In this work, when dealing with the continuously increasing pressure constraint, a static penalty function with a constant value has been selected, as reported in </w:t>
      </w:r>
      <w:proofErr w:type="gramStart"/>
      <w:r w:rsidRPr="00856DA1">
        <w:t>Eq(</w:t>
      </w:r>
      <w:proofErr w:type="gramEnd"/>
      <w:r w:rsidRPr="00856DA1">
        <w:t>2)</w:t>
      </w:r>
      <w:r w:rsidR="00F25589">
        <w:t>:</w:t>
      </w:r>
    </w:p>
    <w:tbl>
      <w:tblPr>
        <w:tblW w:w="5000" w:type="pct"/>
        <w:tblLook w:val="04A0" w:firstRow="1" w:lastRow="0" w:firstColumn="1" w:lastColumn="0" w:noHBand="0" w:noVBand="1"/>
      </w:tblPr>
      <w:tblGrid>
        <w:gridCol w:w="7983"/>
        <w:gridCol w:w="804"/>
      </w:tblGrid>
      <w:tr w:rsidR="00244536" w:rsidRPr="00856DA1" w14:paraId="7F26EBF4" w14:textId="77777777" w:rsidTr="004C7366">
        <w:tc>
          <w:tcPr>
            <w:tcW w:w="7983" w:type="dxa"/>
            <w:shd w:val="clear" w:color="auto" w:fill="auto"/>
            <w:vAlign w:val="center"/>
          </w:tcPr>
          <w:p w14:paraId="10D4E1AF" w14:textId="3AF385AE" w:rsidR="00244536" w:rsidRPr="00856DA1" w:rsidRDefault="00244536" w:rsidP="004C7366">
            <w:pPr>
              <w:pStyle w:val="CETEquation"/>
            </w:pPr>
            <m:oMathPara>
              <m:oMathParaPr>
                <m:jc m:val="left"/>
              </m:oMathParaPr>
              <m:oMath>
                <m:r>
                  <w:rPr>
                    <w:rFonts w:ascii="Cambria Math" w:hAnsi="Cambria Math"/>
                  </w:rPr>
                  <m:t>φ=Cδ</m:t>
                </m:r>
              </m:oMath>
            </m:oMathPara>
          </w:p>
        </w:tc>
        <w:tc>
          <w:tcPr>
            <w:tcW w:w="804" w:type="dxa"/>
            <w:shd w:val="clear" w:color="auto" w:fill="auto"/>
            <w:vAlign w:val="center"/>
          </w:tcPr>
          <w:p w14:paraId="51E2A6D4" w14:textId="7A4F85A3" w:rsidR="00244536" w:rsidRPr="00856DA1" w:rsidRDefault="00244536" w:rsidP="004C7366">
            <w:pPr>
              <w:pStyle w:val="CETEquation"/>
              <w:jc w:val="right"/>
            </w:pPr>
            <w:r w:rsidRPr="00856DA1">
              <w:t>(</w:t>
            </w:r>
            <w:r w:rsidR="00856DA1" w:rsidRPr="00856DA1">
              <w:t>2</w:t>
            </w:r>
            <w:r w:rsidRPr="00856DA1">
              <w:t>)</w:t>
            </w:r>
          </w:p>
        </w:tc>
      </w:tr>
    </w:tbl>
    <w:p w14:paraId="2EEA5088" w14:textId="0CA449EC" w:rsidR="00244536" w:rsidRPr="00856DA1" w:rsidRDefault="00244536" w:rsidP="00B64DC6">
      <w:pPr>
        <w:pStyle w:val="CETBodytext"/>
      </w:pPr>
      <w:r w:rsidRPr="00856DA1">
        <w:t xml:space="preserve">where </w:t>
      </w:r>
      <w:r w:rsidRPr="00856DA1">
        <w:rPr>
          <w:rFonts w:cs="Arial"/>
        </w:rPr>
        <w:t>δ</w:t>
      </w:r>
      <w:r w:rsidRPr="00856DA1">
        <w:t xml:space="preserve">=1 if the constraint is not met and </w:t>
      </w:r>
      <w:r w:rsidRPr="00856DA1">
        <w:rPr>
          <w:rFonts w:cs="Arial"/>
        </w:rPr>
        <w:t>δ</w:t>
      </w:r>
      <w:r w:rsidRPr="00856DA1">
        <w:t>=0 otherwise.</w:t>
      </w:r>
    </w:p>
    <w:p w14:paraId="4F51C07E" w14:textId="6928C1FD" w:rsidR="00856DA1" w:rsidRPr="00856DA1" w:rsidRDefault="0016145B" w:rsidP="00856DA1">
      <w:pPr>
        <w:pStyle w:val="CETBodytext"/>
      </w:pPr>
      <w:r w:rsidRPr="00856DA1">
        <w:t xml:space="preserve">When considering the second constraint regarding the MITA, </w:t>
      </w:r>
      <w:r w:rsidR="00856DA1" w:rsidRPr="00856DA1">
        <w:t>the</w:t>
      </w:r>
      <w:r w:rsidRPr="00856DA1">
        <w:t xml:space="preserve"> penalty function φ(t) has been </w:t>
      </w:r>
      <w:r w:rsidR="00856DA1" w:rsidRPr="00856DA1">
        <w:t>formulated</w:t>
      </w:r>
      <w:r w:rsidR="00F25589">
        <w:t xml:space="preserve"> (</w:t>
      </w:r>
      <w:proofErr w:type="gramStart"/>
      <w:r w:rsidR="00F25589">
        <w:t>Eq(</w:t>
      </w:r>
      <w:proofErr w:type="gramEnd"/>
      <w:r w:rsidR="00F25589">
        <w:t>3))</w:t>
      </w:r>
      <w:r w:rsidR="00856DA1" w:rsidRPr="00856DA1">
        <w:t xml:space="preserve"> in such a way that it could account for the “distance” from the admissible value </w:t>
      </w:r>
      <w:r w:rsidR="00F25589">
        <w:t>since</w:t>
      </w:r>
      <w:r w:rsidR="00856DA1" w:rsidRPr="00856DA1">
        <w:t xml:space="preserve"> the objective is to keep the MITA as closer as possible to the minimum </w:t>
      </w:r>
      <w:r w:rsidR="00B85F7E">
        <w:t xml:space="preserve">allowed </w:t>
      </w:r>
      <w:r w:rsidR="00856DA1" w:rsidRPr="00856DA1">
        <w:t>one (</w:t>
      </w:r>
      <w:r w:rsidR="00856DA1" w:rsidRPr="00856DA1">
        <w:rPr>
          <w:rFonts w:ascii="Cambria Math" w:hAnsi="Cambria Math" w:cs="Cambria Math"/>
        </w:rPr>
        <w:t>𝑀𝑖𝑛𝑖𝑚𝑢𝑚</w:t>
      </w:r>
      <w:r w:rsidR="00856DA1" w:rsidRPr="00856DA1">
        <w:t xml:space="preserve"> </w:t>
      </w:r>
      <w:r w:rsidR="00856DA1" w:rsidRPr="00856DA1">
        <w:rPr>
          <w:rFonts w:ascii="Cambria Math" w:hAnsi="Cambria Math" w:cs="Cambria Math"/>
        </w:rPr>
        <w:t>𝑎𝑙𝑙𝑜𝑤𝑒𝑑</w:t>
      </w:r>
      <w:r w:rsidR="00856DA1" w:rsidRPr="00856DA1">
        <w:t xml:space="preserve"> </w:t>
      </w:r>
      <w:r w:rsidR="00856DA1" w:rsidRPr="00856DA1">
        <w:rPr>
          <w:rFonts w:ascii="Cambria Math" w:hAnsi="Cambria Math" w:cs="Cambria Math"/>
        </w:rPr>
        <w:t>𝑀𝐼𝑇𝐴</w:t>
      </w:r>
      <w:r w:rsidR="00856DA1" w:rsidRPr="00856DA1">
        <w:t xml:space="preserve"> </w:t>
      </w:r>
      <w:r w:rsidR="00F25589">
        <w:t xml:space="preserve">in </w:t>
      </w:r>
      <w:r w:rsidR="00856DA1" w:rsidRPr="00856DA1">
        <w:t>Eq(4</w:t>
      </w:r>
      <w:r w:rsidR="00F25589">
        <w:t>)</w:t>
      </w:r>
      <w:r w:rsidR="00856DA1" w:rsidRPr="00856DA1">
        <w:t>).</w:t>
      </w:r>
    </w:p>
    <w:tbl>
      <w:tblPr>
        <w:tblW w:w="5000" w:type="pct"/>
        <w:tblLook w:val="04A0" w:firstRow="1" w:lastRow="0" w:firstColumn="1" w:lastColumn="0" w:noHBand="0" w:noVBand="1"/>
      </w:tblPr>
      <w:tblGrid>
        <w:gridCol w:w="7983"/>
        <w:gridCol w:w="804"/>
      </w:tblGrid>
      <w:tr w:rsidR="00856DA1" w:rsidRPr="00856DA1" w14:paraId="0E7726DD" w14:textId="77777777" w:rsidTr="0070232C">
        <w:tc>
          <w:tcPr>
            <w:tcW w:w="7983" w:type="dxa"/>
            <w:shd w:val="clear" w:color="auto" w:fill="auto"/>
            <w:vAlign w:val="center"/>
          </w:tcPr>
          <w:p w14:paraId="3FADCC62" w14:textId="2596EDD4" w:rsidR="00856DA1" w:rsidRPr="00856DA1" w:rsidRDefault="00856DA1" w:rsidP="0070232C">
            <w:pPr>
              <w:pStyle w:val="CETEquation"/>
            </w:pPr>
            <m:oMath>
              <m:r>
                <w:rPr>
                  <w:rFonts w:ascii="Cambria Math" w:hAnsi="Cambria Math"/>
                </w:rPr>
                <m:t>φ(t)=δk</m:t>
              </m:r>
              <m:sSup>
                <m:sSupPr>
                  <m:ctrlPr>
                    <w:rPr>
                      <w:rFonts w:ascii="Cambria Math" w:hAnsi="Cambria Math"/>
                      <w:i/>
                    </w:rPr>
                  </m:ctrlPr>
                </m:sSupPr>
                <m:e>
                  <m:r>
                    <w:rPr>
                      <w:rFonts w:ascii="Cambria Math" w:hAnsi="Cambria Math"/>
                    </w:rPr>
                    <m:t>t</m:t>
                  </m:r>
                </m:e>
                <m:sup>
                  <m:r>
                    <w:rPr>
                      <w:rFonts w:ascii="Cambria Math" w:hAnsi="Cambria Math"/>
                    </w:rPr>
                    <m:t>θ</m:t>
                  </m:r>
                </m:sup>
              </m:sSup>
            </m:oMath>
            <w:r w:rsidRPr="00856DA1">
              <w:t xml:space="preserve"> where </w:t>
            </w:r>
            <m:oMath>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δ=1 if t&gt;0</m:t>
                      </m:r>
                    </m:e>
                    <m:e>
                      <m:r>
                        <w:rPr>
                          <w:rFonts w:ascii="Cambria Math" w:hAnsi="Cambria Math"/>
                        </w:rPr>
                        <m:t>δ=0 if t&lt;0</m:t>
                      </m:r>
                    </m:e>
                  </m:eqArr>
                </m:e>
              </m:d>
            </m:oMath>
          </w:p>
        </w:tc>
        <w:tc>
          <w:tcPr>
            <w:tcW w:w="804" w:type="dxa"/>
            <w:shd w:val="clear" w:color="auto" w:fill="auto"/>
            <w:vAlign w:val="center"/>
          </w:tcPr>
          <w:p w14:paraId="0986ABBD" w14:textId="41D78103" w:rsidR="00856DA1" w:rsidRPr="00856DA1" w:rsidRDefault="00856DA1" w:rsidP="0070232C">
            <w:pPr>
              <w:pStyle w:val="CETEquation"/>
              <w:jc w:val="right"/>
            </w:pPr>
            <w:r w:rsidRPr="00856DA1">
              <w:t>(3)</w:t>
            </w:r>
          </w:p>
        </w:tc>
      </w:tr>
      <w:tr w:rsidR="00856DA1" w:rsidRPr="00023767" w14:paraId="62EBED20" w14:textId="77777777" w:rsidTr="0070232C">
        <w:tc>
          <w:tcPr>
            <w:tcW w:w="7983" w:type="dxa"/>
            <w:shd w:val="clear" w:color="auto" w:fill="auto"/>
            <w:vAlign w:val="center"/>
          </w:tcPr>
          <w:p w14:paraId="3F3881F3" w14:textId="08F4F4AD" w:rsidR="00856DA1" w:rsidRPr="00856DA1" w:rsidRDefault="00856DA1" w:rsidP="0070232C">
            <w:pPr>
              <w:pStyle w:val="CETEquation"/>
            </w:pPr>
            <m:oMathPara>
              <m:oMathParaPr>
                <m:jc m:val="left"/>
              </m:oMathParaPr>
              <m:oMath>
                <m:r>
                  <w:rPr>
                    <w:rFonts w:ascii="Cambria Math" w:hAnsi="Cambria Math"/>
                  </w:rPr>
                  <m:t>t</m:t>
                </m:r>
                <m:d>
                  <m:dPr>
                    <m:ctrlPr>
                      <w:rPr>
                        <w:rFonts w:ascii="Cambria Math" w:hAnsi="Cambria Math"/>
                        <w:i/>
                      </w:rPr>
                    </m:ctrlPr>
                  </m:dPr>
                  <m:e>
                    <m:r>
                      <w:rPr>
                        <w:rFonts w:ascii="Cambria Math" w:hAnsi="Cambria Math"/>
                      </w:rPr>
                      <m:t>x</m:t>
                    </m:r>
                  </m:e>
                </m:d>
                <m:r>
                  <w:rPr>
                    <w:rFonts w:ascii="Cambria Math" w:hAnsi="Cambria Math"/>
                  </w:rPr>
                  <m:t>=Minimum allowed MITA-MITA(x)</m:t>
                </m:r>
              </m:oMath>
            </m:oMathPara>
          </w:p>
        </w:tc>
        <w:tc>
          <w:tcPr>
            <w:tcW w:w="804" w:type="dxa"/>
            <w:shd w:val="clear" w:color="auto" w:fill="auto"/>
            <w:vAlign w:val="center"/>
          </w:tcPr>
          <w:p w14:paraId="75DE0ED5" w14:textId="743CDB71" w:rsidR="00856DA1" w:rsidRPr="00856DA1" w:rsidRDefault="00856DA1" w:rsidP="0070232C">
            <w:pPr>
              <w:pStyle w:val="CETEquation"/>
              <w:jc w:val="right"/>
            </w:pPr>
            <w:r w:rsidRPr="00856DA1">
              <w:t>(4)</w:t>
            </w:r>
          </w:p>
        </w:tc>
      </w:tr>
    </w:tbl>
    <w:p w14:paraId="233F7CA1" w14:textId="5082E0AD" w:rsidR="00B64DC6" w:rsidRDefault="00B64DC6" w:rsidP="00B64DC6">
      <w:pPr>
        <w:pStyle w:val="CETBodytext"/>
      </w:pPr>
      <w:r w:rsidRPr="00CC7DB1">
        <w:t>A work of calibration on the penalty function has</w:t>
      </w:r>
      <w:r w:rsidR="00E152C4" w:rsidRPr="00CC7DB1">
        <w:t xml:space="preserve"> </w:t>
      </w:r>
      <w:r w:rsidRPr="00CC7DB1">
        <w:t>been carried out through multiple optimizations</w:t>
      </w:r>
      <w:r w:rsidR="00E152C4" w:rsidRPr="00CC7DB1">
        <w:t xml:space="preserve"> </w:t>
      </w:r>
      <w:r w:rsidRPr="00CC7DB1">
        <w:t xml:space="preserve">on a simple </w:t>
      </w:r>
      <w:r w:rsidR="00931490" w:rsidRPr="00CC7DB1">
        <w:t>r</w:t>
      </w:r>
      <w:r w:rsidRPr="00CC7DB1">
        <w:t>everse nitrogen cycle to determine</w:t>
      </w:r>
      <w:r w:rsidR="00E152C4" w:rsidRPr="00CC7DB1">
        <w:t xml:space="preserve"> </w:t>
      </w:r>
      <w:r w:rsidRPr="00CC7DB1">
        <w:t xml:space="preserve">the constants </w:t>
      </w:r>
      <w:r w:rsidRPr="00CC7DB1">
        <w:rPr>
          <w:rFonts w:ascii="Cambria Math" w:hAnsi="Cambria Math" w:cs="Cambria Math"/>
        </w:rPr>
        <w:t>𝑘</w:t>
      </w:r>
      <w:r w:rsidRPr="00CC7DB1">
        <w:t xml:space="preserve"> and </w:t>
      </w:r>
      <w:r w:rsidRPr="00CC7DB1">
        <w:rPr>
          <w:rFonts w:ascii="Cambria Math" w:hAnsi="Cambria Math" w:cs="Cambria Math"/>
        </w:rPr>
        <w:t>𝜃</w:t>
      </w:r>
      <w:r w:rsidRPr="00CC7DB1">
        <w:t>.</w:t>
      </w:r>
    </w:p>
    <w:p w14:paraId="5903B0F4" w14:textId="1F39E168" w:rsidR="00B64DC6" w:rsidRDefault="00B64DC6" w:rsidP="00B64DC6">
      <w:pPr>
        <w:pStyle w:val="CETBodytext"/>
      </w:pPr>
      <w:r>
        <w:t xml:space="preserve">In this work, the liquefaction cycles have been all taken from the literature. </w:t>
      </w:r>
      <w:r w:rsidR="00FE238B">
        <w:t>However, since they were optimized</w:t>
      </w:r>
      <w:r>
        <w:t xml:space="preserve"> for the liquefaction of a biomethane derived from conventional</w:t>
      </w:r>
      <w:r w:rsidR="00FE238B">
        <w:t xml:space="preserve"> </w:t>
      </w:r>
      <w:r>
        <w:t xml:space="preserve">biogas upgrading, the </w:t>
      </w:r>
      <w:r w:rsidR="00FE238B">
        <w:t xml:space="preserve">reported </w:t>
      </w:r>
      <w:r>
        <w:t xml:space="preserve">optimized parameters </w:t>
      </w:r>
      <w:r w:rsidR="00FE238B">
        <w:t>were</w:t>
      </w:r>
      <w:r>
        <w:t xml:space="preserve"> </w:t>
      </w:r>
      <w:r w:rsidR="00FE238B">
        <w:t>not</w:t>
      </w:r>
      <w:r>
        <w:t xml:space="preserve"> suitable for the case</w:t>
      </w:r>
      <w:r w:rsidR="00FE238B">
        <w:t xml:space="preserve"> </w:t>
      </w:r>
      <w:r>
        <w:t>analy</w:t>
      </w:r>
      <w:r w:rsidR="00774246">
        <w:t>z</w:t>
      </w:r>
      <w:r>
        <w:t xml:space="preserve">ed in this </w:t>
      </w:r>
      <w:r w:rsidR="00FE238B">
        <w:t>work</w:t>
      </w:r>
      <w:r>
        <w:t>.</w:t>
      </w:r>
      <w:r w:rsidR="00FE238B">
        <w:t xml:space="preserve"> At first</w:t>
      </w:r>
      <w:r w:rsidR="00237EAA">
        <w:t>,</w:t>
      </w:r>
      <w:r w:rsidR="00FE238B">
        <w:t xml:space="preserve"> a simple reverse nitrogen cycle has been considered</w:t>
      </w:r>
      <w:r w:rsidR="00774246">
        <w:t xml:space="preserve"> for optimization</w:t>
      </w:r>
      <w:r w:rsidR="00FE238B">
        <w:t xml:space="preserve">, since it has a low number of decision variables. </w:t>
      </w:r>
      <w:r w:rsidR="00FE238B" w:rsidRPr="00FE238B">
        <w:t>Then</w:t>
      </w:r>
      <w:r w:rsidR="00FE238B">
        <w:t>,</w:t>
      </w:r>
      <w:r w:rsidR="00FE238B" w:rsidRPr="00FE238B">
        <w:t xml:space="preserve"> more complex cycles with a higher</w:t>
      </w:r>
      <w:r w:rsidR="00FE238B">
        <w:t xml:space="preserve"> number of decision variables have been considered</w:t>
      </w:r>
      <w:r w:rsidR="00EC721F">
        <w:t>,</w:t>
      </w:r>
      <w:r w:rsidR="00FE238B">
        <w:t xml:space="preserve"> as it will be shown in the following section.</w:t>
      </w:r>
      <w:r w:rsidR="00774246">
        <w:t xml:space="preserve"> The biomethane stream exiting the biogas upgrading section and fed to the liquefaction process has been considered as a methane-CO</w:t>
      </w:r>
      <w:r w:rsidR="00774246" w:rsidRPr="00774246">
        <w:rPr>
          <w:vertAlign w:val="subscript"/>
        </w:rPr>
        <w:t>2</w:t>
      </w:r>
      <w:r w:rsidR="00774246">
        <w:t xml:space="preserve"> binary mixture containing 50 ppm CO</w:t>
      </w:r>
      <w:r w:rsidR="00774246" w:rsidRPr="00931490">
        <w:rPr>
          <w:vertAlign w:val="subscript"/>
        </w:rPr>
        <w:t>2</w:t>
      </w:r>
      <w:r w:rsidR="00774246">
        <w:t xml:space="preserve"> at -87.4 °C and 40 </w:t>
      </w:r>
      <w:proofErr w:type="gramStart"/>
      <w:r w:rsidR="00774246">
        <w:t>bar</w:t>
      </w:r>
      <w:proofErr w:type="gramEnd"/>
      <w:r w:rsidR="00774246">
        <w:t xml:space="preserve"> (namely, the operating conditions it would be obtained by performing the upgrading step through the Ryan-Holmes extractive distillation process). Each refrigeration cycle is operated so that the produced LBM stream is available at </w:t>
      </w:r>
      <w:r w:rsidR="00A94407">
        <w:t xml:space="preserve">                 </w:t>
      </w:r>
      <w:r w:rsidR="00774246">
        <w:t>-161.5 °C and atmospheric pressure.</w:t>
      </w:r>
    </w:p>
    <w:p w14:paraId="677EBFF0" w14:textId="50F49DF3" w:rsidR="00600535" w:rsidRPr="00B57B36" w:rsidRDefault="00A16008" w:rsidP="00600535">
      <w:pPr>
        <w:pStyle w:val="CETHeading1"/>
        <w:tabs>
          <w:tab w:val="clear" w:pos="360"/>
          <w:tab w:val="right" w:pos="7100"/>
        </w:tabs>
        <w:jc w:val="both"/>
        <w:rPr>
          <w:lang w:val="en-GB"/>
        </w:rPr>
      </w:pPr>
      <w:r>
        <w:rPr>
          <w:lang w:val="en-GB"/>
        </w:rPr>
        <w:lastRenderedPageBreak/>
        <w:t>Description and optimization of refrigeration cycles</w:t>
      </w:r>
    </w:p>
    <w:p w14:paraId="04963A06" w14:textId="7B4F0201" w:rsidR="00600535" w:rsidRPr="00B57B36" w:rsidRDefault="00A16008" w:rsidP="00FA5F5F">
      <w:pPr>
        <w:pStyle w:val="CETheadingx"/>
      </w:pPr>
      <w:r>
        <w:t>Simple reverse nitrogen cycle</w:t>
      </w:r>
    </w:p>
    <w:p w14:paraId="7B0DB71E" w14:textId="53A385A1" w:rsidR="00D3105C" w:rsidRDefault="00A16008" w:rsidP="00D3105C">
      <w:pPr>
        <w:pStyle w:val="CETBodytext"/>
        <w:rPr>
          <w:lang w:val="en-GB"/>
        </w:rPr>
      </w:pPr>
      <w:r>
        <w:rPr>
          <w:lang w:val="en-GB"/>
        </w:rPr>
        <w:t>The s</w:t>
      </w:r>
      <w:r w:rsidRPr="00A16008">
        <w:rPr>
          <w:lang w:val="en-GB"/>
        </w:rPr>
        <w:t xml:space="preserve">imple reverse nitrogen cycle has been </w:t>
      </w:r>
      <w:r w:rsidR="00D3105C">
        <w:rPr>
          <w:lang w:val="en-GB"/>
        </w:rPr>
        <w:t xml:space="preserve">first </w:t>
      </w:r>
      <w:r w:rsidRPr="00A16008">
        <w:rPr>
          <w:lang w:val="en-GB"/>
        </w:rPr>
        <w:t>analysed in this</w:t>
      </w:r>
      <w:r>
        <w:rPr>
          <w:lang w:val="en-GB"/>
        </w:rPr>
        <w:t xml:space="preserve"> </w:t>
      </w:r>
      <w:r w:rsidRPr="00A16008">
        <w:rPr>
          <w:lang w:val="en-GB"/>
        </w:rPr>
        <w:t>work</w:t>
      </w:r>
      <w:r w:rsidR="00D3105C">
        <w:rPr>
          <w:lang w:val="en-GB"/>
        </w:rPr>
        <w:t xml:space="preserve"> due to its simplicity, though it has the poorest </w:t>
      </w:r>
      <w:r w:rsidR="00D3105C" w:rsidRPr="00A16008">
        <w:rPr>
          <w:lang w:val="en-GB"/>
        </w:rPr>
        <w:t>energy efficiency among the analysed cycle</w:t>
      </w:r>
      <w:r w:rsidR="00C210CD">
        <w:rPr>
          <w:lang w:val="en-GB"/>
        </w:rPr>
        <w:t>s</w:t>
      </w:r>
      <w:r w:rsidR="00D3105C" w:rsidRPr="00A16008">
        <w:rPr>
          <w:lang w:val="en-GB"/>
        </w:rPr>
        <w:t xml:space="preserve"> due to the high load assigned to a single</w:t>
      </w:r>
      <w:r w:rsidR="00D3105C">
        <w:rPr>
          <w:lang w:val="en-GB"/>
        </w:rPr>
        <w:t xml:space="preserve"> </w:t>
      </w:r>
      <w:r w:rsidR="00D3105C" w:rsidRPr="00A16008">
        <w:rPr>
          <w:lang w:val="en-GB"/>
        </w:rPr>
        <w:t>compressor</w:t>
      </w:r>
      <w:r w:rsidRPr="00A16008">
        <w:rPr>
          <w:lang w:val="en-GB"/>
        </w:rPr>
        <w:t>.</w:t>
      </w:r>
      <w:r w:rsidR="00D3105C">
        <w:rPr>
          <w:lang w:val="en-GB"/>
        </w:rPr>
        <w:t xml:space="preserve"> With reference to the scheme illustrated in Figure 1, the following</w:t>
      </w:r>
      <w:r w:rsidR="00D3105C" w:rsidRPr="00D3105C">
        <w:rPr>
          <w:lang w:val="en-GB"/>
        </w:rPr>
        <w:t xml:space="preserve"> process decision variables </w:t>
      </w:r>
      <w:r w:rsidR="00D3105C">
        <w:rPr>
          <w:lang w:val="en-GB"/>
        </w:rPr>
        <w:t xml:space="preserve">have been considered </w:t>
      </w:r>
      <w:r w:rsidR="00D3105C" w:rsidRPr="00D3105C">
        <w:rPr>
          <w:lang w:val="en-GB"/>
        </w:rPr>
        <w:t xml:space="preserve">for </w:t>
      </w:r>
      <w:r w:rsidR="00263590">
        <w:rPr>
          <w:lang w:val="en-GB"/>
        </w:rPr>
        <w:t xml:space="preserve">the optimization of </w:t>
      </w:r>
      <w:r w:rsidR="00D3105C" w:rsidRPr="00D3105C">
        <w:rPr>
          <w:lang w:val="en-GB"/>
        </w:rPr>
        <w:t>this cycle</w:t>
      </w:r>
      <w:r w:rsidR="00D3105C">
        <w:rPr>
          <w:lang w:val="en-GB"/>
        </w:rPr>
        <w:t xml:space="preserve">: </w:t>
      </w:r>
      <w:r w:rsidR="00D3105C" w:rsidRPr="00D3105C">
        <w:rPr>
          <w:lang w:val="en-GB"/>
        </w:rPr>
        <w:t>BM liquefaction pressure, P</w:t>
      </w:r>
      <w:r w:rsidR="00D3105C" w:rsidRPr="00263590">
        <w:rPr>
          <w:vertAlign w:val="subscript"/>
          <w:lang w:val="en-GB"/>
        </w:rPr>
        <w:t>2</w:t>
      </w:r>
      <w:r w:rsidR="00D3105C" w:rsidRPr="00D3105C">
        <w:rPr>
          <w:lang w:val="en-GB"/>
        </w:rPr>
        <w:t>;</w:t>
      </w:r>
      <w:r w:rsidR="00D3105C">
        <w:rPr>
          <w:lang w:val="en-GB"/>
        </w:rPr>
        <w:t xml:space="preserve"> </w:t>
      </w:r>
      <w:r w:rsidR="00D3105C" w:rsidRPr="00D3105C">
        <w:rPr>
          <w:lang w:val="en-GB"/>
        </w:rPr>
        <w:t>maximum pressure in the refrigeration cycle</w:t>
      </w:r>
      <w:r w:rsidR="00263590">
        <w:rPr>
          <w:lang w:val="en-GB"/>
        </w:rPr>
        <w:t>,</w:t>
      </w:r>
      <w:r w:rsidR="00D3105C" w:rsidRPr="00D3105C">
        <w:rPr>
          <w:lang w:val="en-GB"/>
        </w:rPr>
        <w:t xml:space="preserve"> P</w:t>
      </w:r>
      <w:r w:rsidR="00D3105C" w:rsidRPr="00263590">
        <w:rPr>
          <w:vertAlign w:val="subscript"/>
          <w:lang w:val="en-GB"/>
        </w:rPr>
        <w:t>4</w:t>
      </w:r>
      <w:r w:rsidR="00D3105C" w:rsidRPr="00D3105C">
        <w:rPr>
          <w:lang w:val="en-GB"/>
        </w:rPr>
        <w:t>;</w:t>
      </w:r>
      <w:r w:rsidR="00D3105C">
        <w:rPr>
          <w:lang w:val="en-GB"/>
        </w:rPr>
        <w:t xml:space="preserve"> </w:t>
      </w:r>
      <w:r w:rsidR="00D3105C" w:rsidRPr="00D3105C">
        <w:rPr>
          <w:lang w:val="en-GB"/>
        </w:rPr>
        <w:t>minimum pressure in t</w:t>
      </w:r>
      <w:r w:rsidR="00D3105C" w:rsidRPr="00FB0999">
        <w:rPr>
          <w:lang w:val="en-GB"/>
        </w:rPr>
        <w:t>he refrigeration cycle</w:t>
      </w:r>
      <w:r w:rsidR="00263590" w:rsidRPr="00FB0999">
        <w:rPr>
          <w:lang w:val="en-GB"/>
        </w:rPr>
        <w:t>,</w:t>
      </w:r>
      <w:r w:rsidR="00D3105C" w:rsidRPr="00FB0999">
        <w:rPr>
          <w:lang w:val="en-GB"/>
        </w:rPr>
        <w:t xml:space="preserve"> P</w:t>
      </w:r>
      <w:r w:rsidR="00D3105C" w:rsidRPr="00FB0999">
        <w:rPr>
          <w:vertAlign w:val="subscript"/>
          <w:lang w:val="en-GB"/>
        </w:rPr>
        <w:t>7</w:t>
      </w:r>
      <w:r w:rsidR="00D3105C" w:rsidRPr="00FB0999">
        <w:rPr>
          <w:lang w:val="en-GB"/>
        </w:rPr>
        <w:t>; refrigerant molar flow rate.</w:t>
      </w:r>
      <w:r w:rsidR="00DD7CFC" w:rsidRPr="00FB0999">
        <w:rPr>
          <w:lang w:val="en-GB"/>
        </w:rPr>
        <w:t xml:space="preserve"> </w:t>
      </w:r>
      <w:r w:rsidR="002C122D" w:rsidRPr="00FB0999">
        <w:rPr>
          <w:lang w:val="en-GB"/>
        </w:rPr>
        <w:t xml:space="preserve">In order to calibrate the penalty function </w:t>
      </w:r>
      <w:r w:rsidR="003378D0" w:rsidRPr="00FB0999">
        <w:rPr>
          <w:lang w:val="en-GB"/>
        </w:rPr>
        <w:t xml:space="preserve">and determine </w:t>
      </w:r>
      <w:r w:rsidR="002C122D" w:rsidRPr="00FB0999">
        <w:rPr>
          <w:lang w:val="en-GB"/>
        </w:rPr>
        <w:t xml:space="preserve">the values of </w:t>
      </w:r>
      <w:r w:rsidR="003378D0" w:rsidRPr="00FB0999">
        <w:rPr>
          <w:lang w:val="en-GB"/>
        </w:rPr>
        <w:t>k</w:t>
      </w:r>
      <w:r w:rsidR="002C122D" w:rsidRPr="00FB0999">
        <w:rPr>
          <w:vertAlign w:val="subscript"/>
          <w:lang w:val="en-GB"/>
        </w:rPr>
        <w:t>1</w:t>
      </w:r>
      <w:r w:rsidR="002C122D" w:rsidRPr="00FB0999">
        <w:rPr>
          <w:lang w:val="en-GB"/>
        </w:rPr>
        <w:t xml:space="preserve">, </w:t>
      </w:r>
      <w:r w:rsidR="003378D0" w:rsidRPr="00FB0999">
        <w:rPr>
          <w:lang w:val="en-GB"/>
        </w:rPr>
        <w:t>k</w:t>
      </w:r>
      <w:r w:rsidR="002C122D" w:rsidRPr="00FB0999">
        <w:rPr>
          <w:vertAlign w:val="subscript"/>
          <w:lang w:val="en-GB"/>
        </w:rPr>
        <w:t>2</w:t>
      </w:r>
      <w:r w:rsidR="002C122D" w:rsidRPr="00FB0999">
        <w:rPr>
          <w:lang w:val="en-GB"/>
        </w:rPr>
        <w:t>, θ</w:t>
      </w:r>
      <w:r w:rsidR="002C122D" w:rsidRPr="00FB0999">
        <w:rPr>
          <w:vertAlign w:val="subscript"/>
          <w:lang w:val="en-GB"/>
        </w:rPr>
        <w:t>1</w:t>
      </w:r>
      <w:r w:rsidR="002C122D" w:rsidRPr="00FB0999">
        <w:rPr>
          <w:lang w:val="en-GB"/>
        </w:rPr>
        <w:t xml:space="preserve">, </w:t>
      </w:r>
      <w:r w:rsidR="003378D0" w:rsidRPr="00FB0999">
        <w:rPr>
          <w:lang w:val="en-GB"/>
        </w:rPr>
        <w:t xml:space="preserve">and </w:t>
      </w:r>
      <w:r w:rsidR="002C122D" w:rsidRPr="00FB0999">
        <w:rPr>
          <w:lang w:val="en-GB"/>
        </w:rPr>
        <w:t>θ</w:t>
      </w:r>
      <w:r w:rsidR="002C122D" w:rsidRPr="00FB0999">
        <w:rPr>
          <w:vertAlign w:val="subscript"/>
          <w:lang w:val="en-GB"/>
        </w:rPr>
        <w:t>2</w:t>
      </w:r>
      <w:r w:rsidR="003378D0" w:rsidRPr="00FB0999">
        <w:rPr>
          <w:lang w:val="en-GB"/>
        </w:rPr>
        <w:t xml:space="preserve"> (</w:t>
      </w:r>
      <w:r w:rsidR="003378D0" w:rsidRPr="00FB0999">
        <w:t xml:space="preserve">to keep the MITA as closer as possible to the minimum allowed one in both the </w:t>
      </w:r>
      <w:r w:rsidR="004870C3" w:rsidRPr="00FB0999">
        <w:t>l</w:t>
      </w:r>
      <w:r w:rsidR="00CC7DB1" w:rsidRPr="00FB0999">
        <w:t xml:space="preserve">iquefier LNG-100 and the </w:t>
      </w:r>
      <w:r w:rsidR="00FB0999" w:rsidRPr="00FB0999">
        <w:t>economizer</w:t>
      </w:r>
      <w:r w:rsidR="003378D0" w:rsidRPr="00FB0999">
        <w:t xml:space="preserve"> </w:t>
      </w:r>
      <w:r w:rsidR="00CC7DB1" w:rsidRPr="00FB0999">
        <w:t>LNG-101</w:t>
      </w:r>
      <w:r w:rsidR="003378D0" w:rsidRPr="00FB0999">
        <w:t>)</w:t>
      </w:r>
      <w:r w:rsidR="003378D0" w:rsidRPr="00FB0999">
        <w:rPr>
          <w:lang w:val="en-GB"/>
        </w:rPr>
        <w:t xml:space="preserve">, </w:t>
      </w:r>
      <w:r w:rsidR="002C122D" w:rsidRPr="00FB0999">
        <w:rPr>
          <w:lang w:val="en-GB"/>
        </w:rPr>
        <w:t>several optimization</w:t>
      </w:r>
      <w:r w:rsidR="003378D0" w:rsidRPr="00FB0999">
        <w:rPr>
          <w:lang w:val="en-GB"/>
        </w:rPr>
        <w:t>s</w:t>
      </w:r>
      <w:r w:rsidR="002C122D" w:rsidRPr="00FB0999">
        <w:rPr>
          <w:lang w:val="en-GB"/>
        </w:rPr>
        <w:t xml:space="preserve"> have been performed </w:t>
      </w:r>
      <w:r w:rsidR="003378D0" w:rsidRPr="00FB0999">
        <w:rPr>
          <w:lang w:val="en-GB"/>
        </w:rPr>
        <w:t>by changing the</w:t>
      </w:r>
      <w:r w:rsidR="002C122D" w:rsidRPr="00FB0999">
        <w:rPr>
          <w:lang w:val="en-GB"/>
        </w:rPr>
        <w:t xml:space="preserve"> values </w:t>
      </w:r>
      <w:r w:rsidR="003378D0" w:rsidRPr="00FB0999">
        <w:rPr>
          <w:lang w:val="en-GB"/>
        </w:rPr>
        <w:t>of those parameters</w:t>
      </w:r>
      <w:r w:rsidR="002C122D" w:rsidRPr="00FB0999">
        <w:rPr>
          <w:lang w:val="en-GB"/>
        </w:rPr>
        <w:t xml:space="preserve"> and checking w</w:t>
      </w:r>
      <w:r w:rsidR="003378D0" w:rsidRPr="00FB0999">
        <w:rPr>
          <w:lang w:val="en-GB"/>
        </w:rPr>
        <w:t>h</w:t>
      </w:r>
      <w:r w:rsidR="002C122D" w:rsidRPr="00FB0999">
        <w:rPr>
          <w:lang w:val="en-GB"/>
        </w:rPr>
        <w:t xml:space="preserve">ether the optimized result was respecting the constraint and how </w:t>
      </w:r>
      <w:r w:rsidR="003378D0" w:rsidRPr="00FB0999">
        <w:rPr>
          <w:lang w:val="en-GB"/>
        </w:rPr>
        <w:t xml:space="preserve">much the MITA of the two heat exchangers differed </w:t>
      </w:r>
      <w:r w:rsidR="002C122D" w:rsidRPr="00FB0999">
        <w:rPr>
          <w:lang w:val="en-GB"/>
        </w:rPr>
        <w:t xml:space="preserve">from the </w:t>
      </w:r>
      <w:r w:rsidR="003378D0" w:rsidRPr="00FB0999">
        <w:rPr>
          <w:lang w:val="en-GB"/>
        </w:rPr>
        <w:t>minimum allowed one</w:t>
      </w:r>
      <w:r w:rsidR="002C122D" w:rsidRPr="00FB0999">
        <w:rPr>
          <w:lang w:val="en-GB"/>
        </w:rPr>
        <w:t>.</w:t>
      </w:r>
      <w:r w:rsidR="003378D0" w:rsidRPr="00FB0999">
        <w:rPr>
          <w:lang w:val="en-GB"/>
        </w:rPr>
        <w:t xml:space="preserve"> They </w:t>
      </w:r>
      <w:r w:rsidR="00FC3B5D">
        <w:rPr>
          <w:lang w:val="en-GB"/>
        </w:rPr>
        <w:t xml:space="preserve">have </w:t>
      </w:r>
      <w:r w:rsidR="003378D0" w:rsidRPr="00FB0999">
        <w:rPr>
          <w:lang w:val="en-GB"/>
        </w:rPr>
        <w:t>turned out to be: k</w:t>
      </w:r>
      <w:r w:rsidR="003378D0" w:rsidRPr="00FB0999">
        <w:rPr>
          <w:vertAlign w:val="subscript"/>
          <w:lang w:val="en-GB"/>
        </w:rPr>
        <w:t>1</w:t>
      </w:r>
      <w:r w:rsidR="003378D0" w:rsidRPr="00FB0999">
        <w:rPr>
          <w:lang w:val="en-GB"/>
        </w:rPr>
        <w:t>=</w:t>
      </w:r>
      <w:r w:rsidR="00C403AB" w:rsidRPr="00FB0999">
        <w:rPr>
          <w:lang w:val="en-GB"/>
        </w:rPr>
        <w:t>10</w:t>
      </w:r>
      <w:r w:rsidR="00D279CF" w:rsidRPr="00FB0999">
        <w:rPr>
          <w:vertAlign w:val="superscript"/>
          <w:lang w:val="en-GB"/>
        </w:rPr>
        <w:t>7</w:t>
      </w:r>
      <w:r w:rsidR="003378D0" w:rsidRPr="00FB0999">
        <w:rPr>
          <w:lang w:val="en-GB"/>
        </w:rPr>
        <w:t>, k</w:t>
      </w:r>
      <w:r w:rsidR="003378D0" w:rsidRPr="00FB0999">
        <w:rPr>
          <w:vertAlign w:val="subscript"/>
          <w:lang w:val="en-GB"/>
        </w:rPr>
        <w:t>2</w:t>
      </w:r>
      <w:r w:rsidR="003378D0" w:rsidRPr="00FB0999">
        <w:rPr>
          <w:lang w:val="en-GB"/>
        </w:rPr>
        <w:t>=</w:t>
      </w:r>
      <w:r w:rsidR="00C403AB" w:rsidRPr="00FB0999">
        <w:rPr>
          <w:lang w:val="en-GB"/>
        </w:rPr>
        <w:t>10</w:t>
      </w:r>
      <w:r w:rsidR="00C403AB" w:rsidRPr="00FB0999">
        <w:rPr>
          <w:vertAlign w:val="superscript"/>
          <w:lang w:val="en-GB"/>
        </w:rPr>
        <w:t>1</w:t>
      </w:r>
      <w:r w:rsidR="00D279CF" w:rsidRPr="00FB0999">
        <w:rPr>
          <w:vertAlign w:val="superscript"/>
          <w:lang w:val="en-GB"/>
        </w:rPr>
        <w:t>7</w:t>
      </w:r>
      <w:r w:rsidR="003378D0" w:rsidRPr="00FB0999">
        <w:rPr>
          <w:lang w:val="en-GB"/>
        </w:rPr>
        <w:t>, θ</w:t>
      </w:r>
      <w:r w:rsidR="003378D0" w:rsidRPr="00FB0999">
        <w:rPr>
          <w:vertAlign w:val="subscript"/>
          <w:lang w:val="en-GB"/>
        </w:rPr>
        <w:t>1</w:t>
      </w:r>
      <w:r w:rsidR="003378D0" w:rsidRPr="00FB0999">
        <w:rPr>
          <w:lang w:val="en-GB"/>
        </w:rPr>
        <w:t>=</w:t>
      </w:r>
      <w:r w:rsidR="00C403AB" w:rsidRPr="00FB0999">
        <w:rPr>
          <w:lang w:val="en-GB"/>
        </w:rPr>
        <w:t>3</w:t>
      </w:r>
      <w:r w:rsidR="003378D0" w:rsidRPr="00FB0999">
        <w:rPr>
          <w:lang w:val="en-GB"/>
        </w:rPr>
        <w:t xml:space="preserve"> and θ</w:t>
      </w:r>
      <w:r w:rsidR="003378D0" w:rsidRPr="00FB0999">
        <w:rPr>
          <w:vertAlign w:val="subscript"/>
          <w:lang w:val="en-GB"/>
        </w:rPr>
        <w:t>2</w:t>
      </w:r>
      <w:r w:rsidR="003378D0" w:rsidRPr="00FB0999">
        <w:rPr>
          <w:lang w:val="en-GB"/>
        </w:rPr>
        <w:t>=</w:t>
      </w:r>
      <w:r w:rsidR="00C403AB" w:rsidRPr="00FB0999">
        <w:rPr>
          <w:lang w:val="en-GB"/>
        </w:rPr>
        <w:t>1</w:t>
      </w:r>
      <w:r w:rsidR="003378D0" w:rsidRPr="00FB0999">
        <w:rPr>
          <w:lang w:val="en-GB"/>
        </w:rPr>
        <w:t xml:space="preserve">. </w:t>
      </w:r>
      <w:r w:rsidR="00DD7CFC" w:rsidRPr="00FB0999">
        <w:rPr>
          <w:lang w:val="en-GB"/>
        </w:rPr>
        <w:t xml:space="preserve">The optimal value </w:t>
      </w:r>
      <w:r w:rsidR="00263590" w:rsidRPr="00FB0999">
        <w:rPr>
          <w:lang w:val="en-GB"/>
        </w:rPr>
        <w:t xml:space="preserve">for </w:t>
      </w:r>
      <w:r w:rsidR="003378D0" w:rsidRPr="00FB0999">
        <w:rPr>
          <w:lang w:val="en-GB"/>
        </w:rPr>
        <w:t xml:space="preserve">the </w:t>
      </w:r>
      <w:r w:rsidR="003C712D" w:rsidRPr="00FB0999">
        <w:rPr>
          <w:lang w:val="en-GB"/>
        </w:rPr>
        <w:t xml:space="preserve">selected </w:t>
      </w:r>
      <w:r w:rsidR="003378D0" w:rsidRPr="00FB0999">
        <w:rPr>
          <w:lang w:val="en-GB"/>
        </w:rPr>
        <w:t>decision</w:t>
      </w:r>
      <w:r w:rsidR="00263590" w:rsidRPr="00FB0999">
        <w:rPr>
          <w:lang w:val="en-GB"/>
        </w:rPr>
        <w:t xml:space="preserve"> variables </w:t>
      </w:r>
      <w:r w:rsidR="00DD7CFC" w:rsidRPr="00FB0999">
        <w:rPr>
          <w:lang w:val="en-GB"/>
        </w:rPr>
        <w:t>is reported in Table 1.</w:t>
      </w:r>
    </w:p>
    <w:p w14:paraId="1334048F" w14:textId="4878DF73" w:rsidR="00D3105C" w:rsidRDefault="00B76720" w:rsidP="00553C14">
      <w:pPr>
        <w:pStyle w:val="CETBodytext"/>
        <w:spacing w:before="240" w:after="240"/>
        <w:rPr>
          <w:highlight w:val="yellow"/>
          <w:lang w:val="en-GB"/>
        </w:rPr>
      </w:pPr>
      <w:r w:rsidRPr="004870C3">
        <w:rPr>
          <w:noProof/>
        </w:rPr>
        <w:drawing>
          <wp:inline distT="0" distB="0" distL="0" distR="0" wp14:anchorId="08664668" wp14:editId="324CC896">
            <wp:extent cx="3236400" cy="1382400"/>
            <wp:effectExtent l="0" t="0" r="254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6400" cy="1382400"/>
                    </a:xfrm>
                    <a:prstGeom prst="rect">
                      <a:avLst/>
                    </a:prstGeom>
                    <a:noFill/>
                    <a:ln>
                      <a:noFill/>
                    </a:ln>
                  </pic:spPr>
                </pic:pic>
              </a:graphicData>
            </a:graphic>
          </wp:inline>
        </w:drawing>
      </w:r>
    </w:p>
    <w:p w14:paraId="2F0AAB18" w14:textId="70CF702B" w:rsidR="00D3105C" w:rsidRPr="00BD077D" w:rsidRDefault="00D3105C" w:rsidP="00D3105C">
      <w:pPr>
        <w:pStyle w:val="CETCaption"/>
      </w:pPr>
      <w:r w:rsidRPr="00BD077D">
        <w:rPr>
          <w:rStyle w:val="CETCaptionCarattere"/>
          <w:i/>
        </w:rPr>
        <w:t xml:space="preserve">Figure 1: </w:t>
      </w:r>
      <w:r w:rsidR="00DD7CFC">
        <w:rPr>
          <w:rStyle w:val="CETCaptionCarattere"/>
          <w:i/>
        </w:rPr>
        <w:t xml:space="preserve">Scheme of the simple reverse nitrogen </w:t>
      </w:r>
      <w:r w:rsidR="006C2620">
        <w:rPr>
          <w:rStyle w:val="CETCaptionCarattere"/>
          <w:i/>
        </w:rPr>
        <w:t>cycle</w:t>
      </w:r>
    </w:p>
    <w:p w14:paraId="2BDE2C48" w14:textId="1CD94A18" w:rsidR="00DD7CFC" w:rsidRPr="00B57B36" w:rsidRDefault="00DD7CFC" w:rsidP="00DD7CFC">
      <w:pPr>
        <w:pStyle w:val="CETTabletitle"/>
      </w:pPr>
      <w:r w:rsidRPr="00B57B36">
        <w:t xml:space="preserve">Table 1: </w:t>
      </w:r>
      <w:r>
        <w:t>Optimal decision variables for the simple reverse nitrogen cycle in Figure 1</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75"/>
        <w:gridCol w:w="1134"/>
        <w:gridCol w:w="1134"/>
        <w:gridCol w:w="1134"/>
        <w:gridCol w:w="1134"/>
      </w:tblGrid>
      <w:tr w:rsidR="00DD7CFC" w:rsidRPr="00B57B36" w14:paraId="11819860" w14:textId="77777777" w:rsidTr="00DD7CFC">
        <w:tc>
          <w:tcPr>
            <w:tcW w:w="3175" w:type="dxa"/>
            <w:tcBorders>
              <w:top w:val="single" w:sz="12" w:space="0" w:color="008000"/>
              <w:bottom w:val="single" w:sz="6" w:space="0" w:color="008000"/>
            </w:tcBorders>
            <w:shd w:val="clear" w:color="auto" w:fill="FFFFFF"/>
          </w:tcPr>
          <w:p w14:paraId="055597C2" w14:textId="4A8EC9C9" w:rsidR="00DD7CFC" w:rsidRPr="00B57B36" w:rsidRDefault="00DD7CFC" w:rsidP="00613CCD">
            <w:pPr>
              <w:pStyle w:val="CETBodytext"/>
              <w:rPr>
                <w:lang w:val="en-GB"/>
              </w:rPr>
            </w:pPr>
            <w:r>
              <w:rPr>
                <w:lang w:val="en-GB"/>
              </w:rPr>
              <w:t>Variable</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3FAB9989" w14:textId="222BABA8" w:rsidR="00DD7CFC" w:rsidRPr="00B57B36" w:rsidRDefault="00DD7CFC" w:rsidP="00613CCD">
            <w:pPr>
              <w:pStyle w:val="CETBodytext"/>
              <w:rPr>
                <w:lang w:val="en-GB"/>
              </w:rPr>
            </w:pPr>
            <w:r>
              <w:rPr>
                <w:lang w:val="en-GB"/>
              </w:rPr>
              <w:t>Symbol</w:t>
            </w:r>
          </w:p>
        </w:tc>
        <w:tc>
          <w:tcPr>
            <w:tcW w:w="1134" w:type="dxa"/>
            <w:tcBorders>
              <w:top w:val="single" w:sz="12" w:space="0" w:color="008000"/>
              <w:bottom w:val="single" w:sz="6" w:space="0" w:color="008000"/>
            </w:tcBorders>
            <w:shd w:val="clear" w:color="auto" w:fill="FFFFFF"/>
          </w:tcPr>
          <w:p w14:paraId="352DEF1E" w14:textId="3430F2F7" w:rsidR="00DD7CFC" w:rsidRPr="00B57B36" w:rsidRDefault="00DD7CFC" w:rsidP="00613CCD">
            <w:pPr>
              <w:pStyle w:val="CETBodytext"/>
              <w:rPr>
                <w:lang w:val="en-GB"/>
              </w:rPr>
            </w:pPr>
            <w:r>
              <w:rPr>
                <w:lang w:val="en-GB"/>
              </w:rPr>
              <w:t>Optimal value</w:t>
            </w:r>
          </w:p>
        </w:tc>
        <w:tc>
          <w:tcPr>
            <w:tcW w:w="1134" w:type="dxa"/>
            <w:tcBorders>
              <w:top w:val="single" w:sz="12" w:space="0" w:color="008000"/>
              <w:bottom w:val="single" w:sz="6" w:space="0" w:color="008000"/>
            </w:tcBorders>
            <w:shd w:val="clear" w:color="auto" w:fill="FFFFFF"/>
          </w:tcPr>
          <w:p w14:paraId="3E3B1D47" w14:textId="77777777" w:rsidR="00DD7CFC" w:rsidRPr="00B57B36" w:rsidRDefault="00DD7CFC" w:rsidP="00613CCD">
            <w:pPr>
              <w:pStyle w:val="CETBodytext"/>
              <w:ind w:right="-1"/>
              <w:rPr>
                <w:rFonts w:cs="Arial"/>
                <w:szCs w:val="18"/>
                <w:lang w:val="en-GB"/>
              </w:rPr>
            </w:pPr>
          </w:p>
        </w:tc>
        <w:tc>
          <w:tcPr>
            <w:tcW w:w="1134" w:type="dxa"/>
            <w:tcBorders>
              <w:top w:val="single" w:sz="12" w:space="0" w:color="008000"/>
              <w:bottom w:val="single" w:sz="6" w:space="0" w:color="008000"/>
            </w:tcBorders>
            <w:shd w:val="clear" w:color="auto" w:fill="FFFFFF"/>
          </w:tcPr>
          <w:p w14:paraId="7CDEFC4A" w14:textId="77777777" w:rsidR="00DD7CFC" w:rsidRPr="00B57B36" w:rsidRDefault="00DD7CFC" w:rsidP="00613CCD">
            <w:pPr>
              <w:pStyle w:val="CETBodytext"/>
              <w:ind w:right="-1"/>
              <w:rPr>
                <w:rFonts w:cs="Arial"/>
                <w:szCs w:val="18"/>
                <w:lang w:val="en-GB"/>
              </w:rPr>
            </w:pPr>
          </w:p>
        </w:tc>
      </w:tr>
      <w:tr w:rsidR="00DD7CFC" w:rsidRPr="00B57B36" w14:paraId="37D47F4F" w14:textId="77777777" w:rsidTr="00DD7CFC">
        <w:tc>
          <w:tcPr>
            <w:tcW w:w="3175" w:type="dxa"/>
            <w:shd w:val="clear" w:color="auto" w:fill="FFFFFF"/>
          </w:tcPr>
          <w:p w14:paraId="33BF4729" w14:textId="3708399F" w:rsidR="00DD7CFC" w:rsidRPr="00B57B36" w:rsidRDefault="00DD7CFC" w:rsidP="00613CCD">
            <w:pPr>
              <w:pStyle w:val="CETBodytext"/>
              <w:rPr>
                <w:lang w:val="en-GB"/>
              </w:rPr>
            </w:pPr>
            <w:r>
              <w:rPr>
                <w:lang w:val="en-GB"/>
              </w:rPr>
              <w:t>BM liquefaction pressure, kPa</w:t>
            </w:r>
          </w:p>
        </w:tc>
        <w:tc>
          <w:tcPr>
            <w:tcW w:w="1134" w:type="dxa"/>
            <w:shd w:val="clear" w:color="auto" w:fill="FFFFFF"/>
          </w:tcPr>
          <w:p w14:paraId="4C19B0C8" w14:textId="383B5948" w:rsidR="00DD7CFC" w:rsidRPr="00B57B36" w:rsidRDefault="00DD7CFC" w:rsidP="00613CCD">
            <w:pPr>
              <w:pStyle w:val="CETBodytext"/>
              <w:rPr>
                <w:lang w:val="en-GB"/>
              </w:rPr>
            </w:pPr>
            <w:r>
              <w:rPr>
                <w:lang w:val="en-GB"/>
              </w:rPr>
              <w:t>P</w:t>
            </w:r>
            <w:r w:rsidRPr="00677951">
              <w:rPr>
                <w:vertAlign w:val="subscript"/>
                <w:lang w:val="en-GB"/>
              </w:rPr>
              <w:t>2</w:t>
            </w:r>
          </w:p>
        </w:tc>
        <w:tc>
          <w:tcPr>
            <w:tcW w:w="1134" w:type="dxa"/>
            <w:shd w:val="clear" w:color="auto" w:fill="FFFFFF"/>
          </w:tcPr>
          <w:p w14:paraId="109FCE0A" w14:textId="0D2A23FE" w:rsidR="00DD7CFC" w:rsidRPr="00B57B36" w:rsidRDefault="00DD7CFC" w:rsidP="00613CCD">
            <w:pPr>
              <w:pStyle w:val="CETBodytext"/>
              <w:rPr>
                <w:lang w:val="en-GB"/>
              </w:rPr>
            </w:pPr>
            <w:r>
              <w:rPr>
                <w:lang w:val="en-GB"/>
              </w:rPr>
              <w:t>1171</w:t>
            </w:r>
          </w:p>
        </w:tc>
        <w:tc>
          <w:tcPr>
            <w:tcW w:w="1134" w:type="dxa"/>
            <w:shd w:val="clear" w:color="auto" w:fill="FFFFFF"/>
          </w:tcPr>
          <w:p w14:paraId="5DAFFFE4" w14:textId="77777777" w:rsidR="00DD7CFC" w:rsidRPr="00B57B36" w:rsidRDefault="00DD7CFC" w:rsidP="00613CCD">
            <w:pPr>
              <w:pStyle w:val="CETBodytext"/>
              <w:ind w:right="-1"/>
              <w:rPr>
                <w:rFonts w:cs="Arial"/>
                <w:szCs w:val="18"/>
                <w:lang w:val="en-GB"/>
              </w:rPr>
            </w:pPr>
          </w:p>
        </w:tc>
        <w:tc>
          <w:tcPr>
            <w:tcW w:w="1134" w:type="dxa"/>
            <w:shd w:val="clear" w:color="auto" w:fill="FFFFFF"/>
          </w:tcPr>
          <w:p w14:paraId="43F8B8C0" w14:textId="77777777" w:rsidR="00DD7CFC" w:rsidRPr="00B57B36" w:rsidRDefault="00DD7CFC" w:rsidP="00613CCD">
            <w:pPr>
              <w:pStyle w:val="CETBodytext"/>
              <w:ind w:right="-1"/>
              <w:rPr>
                <w:rFonts w:cs="Arial"/>
                <w:szCs w:val="18"/>
                <w:lang w:val="en-GB"/>
              </w:rPr>
            </w:pPr>
          </w:p>
        </w:tc>
      </w:tr>
      <w:tr w:rsidR="00DD7CFC" w:rsidRPr="00B57B36" w14:paraId="3D23CD68" w14:textId="77777777" w:rsidTr="00DD7CFC">
        <w:tc>
          <w:tcPr>
            <w:tcW w:w="3175" w:type="dxa"/>
            <w:shd w:val="clear" w:color="auto" w:fill="FFFFFF"/>
          </w:tcPr>
          <w:p w14:paraId="0A66F511" w14:textId="28D7CC5C" w:rsidR="00DD7CFC" w:rsidRDefault="00DD7CFC" w:rsidP="00613CCD">
            <w:pPr>
              <w:pStyle w:val="CETBodytext"/>
              <w:rPr>
                <w:lang w:val="en-GB"/>
              </w:rPr>
            </w:pPr>
            <w:r>
              <w:rPr>
                <w:lang w:val="en-GB"/>
              </w:rPr>
              <w:t>Max. refrigeration cycle pressure, kPa</w:t>
            </w:r>
          </w:p>
        </w:tc>
        <w:tc>
          <w:tcPr>
            <w:tcW w:w="1134" w:type="dxa"/>
            <w:shd w:val="clear" w:color="auto" w:fill="FFFFFF"/>
          </w:tcPr>
          <w:p w14:paraId="2AD432B7" w14:textId="7D0A35A4" w:rsidR="00DD7CFC" w:rsidRDefault="00DD7CFC" w:rsidP="00613CCD">
            <w:pPr>
              <w:pStyle w:val="CETBodytext"/>
              <w:rPr>
                <w:lang w:val="en-GB"/>
              </w:rPr>
            </w:pPr>
            <w:r>
              <w:rPr>
                <w:lang w:val="en-GB"/>
              </w:rPr>
              <w:t>P</w:t>
            </w:r>
            <w:r w:rsidRPr="00677951">
              <w:rPr>
                <w:vertAlign w:val="subscript"/>
                <w:lang w:val="en-GB"/>
              </w:rPr>
              <w:t>4</w:t>
            </w:r>
          </w:p>
        </w:tc>
        <w:tc>
          <w:tcPr>
            <w:tcW w:w="1134" w:type="dxa"/>
            <w:shd w:val="clear" w:color="auto" w:fill="FFFFFF"/>
          </w:tcPr>
          <w:p w14:paraId="29AA7065" w14:textId="41F23780" w:rsidR="00DD7CFC" w:rsidRDefault="00DD7CFC" w:rsidP="00613CCD">
            <w:pPr>
              <w:pStyle w:val="CETBodytext"/>
              <w:rPr>
                <w:lang w:val="en-GB"/>
              </w:rPr>
            </w:pPr>
            <w:r>
              <w:rPr>
                <w:lang w:val="en-GB"/>
              </w:rPr>
              <w:t>1616</w:t>
            </w:r>
          </w:p>
        </w:tc>
        <w:tc>
          <w:tcPr>
            <w:tcW w:w="1134" w:type="dxa"/>
            <w:shd w:val="clear" w:color="auto" w:fill="FFFFFF"/>
          </w:tcPr>
          <w:p w14:paraId="0AA6AB56" w14:textId="77777777" w:rsidR="00DD7CFC" w:rsidRPr="00B57B36" w:rsidRDefault="00DD7CFC" w:rsidP="00613CCD">
            <w:pPr>
              <w:pStyle w:val="CETBodytext"/>
              <w:ind w:right="-1"/>
              <w:rPr>
                <w:rFonts w:cs="Arial"/>
                <w:szCs w:val="18"/>
                <w:lang w:val="en-GB"/>
              </w:rPr>
            </w:pPr>
          </w:p>
        </w:tc>
        <w:tc>
          <w:tcPr>
            <w:tcW w:w="1134" w:type="dxa"/>
            <w:shd w:val="clear" w:color="auto" w:fill="FFFFFF"/>
          </w:tcPr>
          <w:p w14:paraId="3707B126" w14:textId="77777777" w:rsidR="00DD7CFC" w:rsidRPr="00B57B36" w:rsidRDefault="00DD7CFC" w:rsidP="00613CCD">
            <w:pPr>
              <w:pStyle w:val="CETBodytext"/>
              <w:ind w:right="-1"/>
              <w:rPr>
                <w:rFonts w:cs="Arial"/>
                <w:szCs w:val="18"/>
                <w:lang w:val="en-GB"/>
              </w:rPr>
            </w:pPr>
          </w:p>
        </w:tc>
      </w:tr>
      <w:tr w:rsidR="00DD7CFC" w:rsidRPr="00B57B36" w14:paraId="6A1C095D" w14:textId="77777777" w:rsidTr="00DD7CFC">
        <w:tc>
          <w:tcPr>
            <w:tcW w:w="3175" w:type="dxa"/>
            <w:shd w:val="clear" w:color="auto" w:fill="FFFFFF"/>
          </w:tcPr>
          <w:p w14:paraId="5FEF9CC9" w14:textId="30E74873" w:rsidR="00DD7CFC" w:rsidRDefault="00DD7CFC" w:rsidP="00613CCD">
            <w:pPr>
              <w:pStyle w:val="CETBodytext"/>
              <w:rPr>
                <w:lang w:val="en-GB"/>
              </w:rPr>
            </w:pPr>
            <w:r>
              <w:rPr>
                <w:lang w:val="en-GB"/>
              </w:rPr>
              <w:t>Min. refrigeration cycle pressure, kPa</w:t>
            </w:r>
          </w:p>
        </w:tc>
        <w:tc>
          <w:tcPr>
            <w:tcW w:w="1134" w:type="dxa"/>
            <w:shd w:val="clear" w:color="auto" w:fill="FFFFFF"/>
          </w:tcPr>
          <w:p w14:paraId="065EA8C2" w14:textId="4A00E74B" w:rsidR="00DD7CFC" w:rsidRDefault="00DD7CFC" w:rsidP="00613CCD">
            <w:pPr>
              <w:pStyle w:val="CETBodytext"/>
              <w:rPr>
                <w:lang w:val="en-GB"/>
              </w:rPr>
            </w:pPr>
            <w:r>
              <w:rPr>
                <w:lang w:val="en-GB"/>
              </w:rPr>
              <w:t>P</w:t>
            </w:r>
            <w:r w:rsidRPr="00677951">
              <w:rPr>
                <w:vertAlign w:val="subscript"/>
                <w:lang w:val="en-GB"/>
              </w:rPr>
              <w:t>7</w:t>
            </w:r>
          </w:p>
        </w:tc>
        <w:tc>
          <w:tcPr>
            <w:tcW w:w="1134" w:type="dxa"/>
            <w:shd w:val="clear" w:color="auto" w:fill="FFFFFF"/>
          </w:tcPr>
          <w:p w14:paraId="787CD6DE" w14:textId="68193AE7" w:rsidR="00DD7CFC" w:rsidRDefault="00DD7CFC" w:rsidP="00613CCD">
            <w:pPr>
              <w:pStyle w:val="CETBodytext"/>
              <w:rPr>
                <w:lang w:val="en-GB"/>
              </w:rPr>
            </w:pPr>
            <w:r>
              <w:rPr>
                <w:lang w:val="en-GB"/>
              </w:rPr>
              <w:t>343</w:t>
            </w:r>
          </w:p>
        </w:tc>
        <w:tc>
          <w:tcPr>
            <w:tcW w:w="1134" w:type="dxa"/>
            <w:shd w:val="clear" w:color="auto" w:fill="FFFFFF"/>
          </w:tcPr>
          <w:p w14:paraId="684BEBEC" w14:textId="77777777" w:rsidR="00DD7CFC" w:rsidRPr="00B57B36" w:rsidRDefault="00DD7CFC" w:rsidP="00613CCD">
            <w:pPr>
              <w:pStyle w:val="CETBodytext"/>
              <w:ind w:right="-1"/>
              <w:rPr>
                <w:rFonts w:cs="Arial"/>
                <w:szCs w:val="18"/>
                <w:lang w:val="en-GB"/>
              </w:rPr>
            </w:pPr>
          </w:p>
        </w:tc>
        <w:tc>
          <w:tcPr>
            <w:tcW w:w="1134" w:type="dxa"/>
            <w:shd w:val="clear" w:color="auto" w:fill="FFFFFF"/>
          </w:tcPr>
          <w:p w14:paraId="43A69E84" w14:textId="77777777" w:rsidR="00DD7CFC" w:rsidRPr="00B57B36" w:rsidRDefault="00DD7CFC" w:rsidP="00613CCD">
            <w:pPr>
              <w:pStyle w:val="CETBodytext"/>
              <w:ind w:right="-1"/>
              <w:rPr>
                <w:rFonts w:cs="Arial"/>
                <w:szCs w:val="18"/>
                <w:lang w:val="en-GB"/>
              </w:rPr>
            </w:pPr>
          </w:p>
        </w:tc>
      </w:tr>
      <w:tr w:rsidR="00DD7CFC" w:rsidRPr="00B57B36" w14:paraId="3B89B5E7" w14:textId="77777777" w:rsidTr="00DD7CFC">
        <w:tc>
          <w:tcPr>
            <w:tcW w:w="3175" w:type="dxa"/>
            <w:shd w:val="clear" w:color="auto" w:fill="FFFFFF"/>
          </w:tcPr>
          <w:p w14:paraId="6E24C034" w14:textId="6E9FF2FD" w:rsidR="00DD7CFC" w:rsidRPr="00B57B36" w:rsidRDefault="00DD7CFC" w:rsidP="00613CCD">
            <w:pPr>
              <w:pStyle w:val="CETBodytext"/>
              <w:ind w:right="-1"/>
              <w:rPr>
                <w:rFonts w:cs="Arial"/>
                <w:szCs w:val="18"/>
                <w:lang w:val="en-GB"/>
              </w:rPr>
            </w:pPr>
            <w:r>
              <w:rPr>
                <w:rFonts w:cs="Arial"/>
                <w:szCs w:val="18"/>
                <w:lang w:val="en-GB"/>
              </w:rPr>
              <w:t xml:space="preserve">Refrigerant molar flow rate, </w:t>
            </w:r>
            <w:proofErr w:type="spellStart"/>
            <w:r>
              <w:rPr>
                <w:rFonts w:cs="Arial"/>
                <w:szCs w:val="18"/>
                <w:lang w:val="en-GB"/>
              </w:rPr>
              <w:t>kmol</w:t>
            </w:r>
            <w:proofErr w:type="spellEnd"/>
            <w:r>
              <w:rPr>
                <w:rFonts w:cs="Arial"/>
                <w:szCs w:val="18"/>
                <w:lang w:val="en-GB"/>
              </w:rPr>
              <w:t>/h</w:t>
            </w:r>
          </w:p>
        </w:tc>
        <w:tc>
          <w:tcPr>
            <w:tcW w:w="1134" w:type="dxa"/>
            <w:shd w:val="clear" w:color="auto" w:fill="FFFFFF"/>
          </w:tcPr>
          <w:p w14:paraId="12EE882C" w14:textId="0A801FBA" w:rsidR="00DD7CFC" w:rsidRPr="00677951" w:rsidRDefault="00C63523" w:rsidP="00613CCD">
            <w:pPr>
              <w:pStyle w:val="CETBodytext"/>
              <w:ind w:right="-1"/>
              <w:rPr>
                <w:rFonts w:cs="Arial"/>
                <w:szCs w:val="18"/>
                <w:lang w:val="en-GB"/>
              </w:rPr>
            </w:pPr>
            <m:oMathPara>
              <m:oMathParaPr>
                <m:jc m:val="left"/>
              </m:oMathParaPr>
              <m:oMath>
                <m:sSub>
                  <m:sSubPr>
                    <m:ctrlPr>
                      <w:rPr>
                        <w:rFonts w:ascii="Cambria Math" w:hAnsi="Cambria Math" w:cs="Arial"/>
                        <w:i/>
                        <w:szCs w:val="18"/>
                        <w:lang w:val="en-GB"/>
                      </w:rPr>
                    </m:ctrlPr>
                  </m:sSubPr>
                  <m:e>
                    <m:acc>
                      <m:accPr>
                        <m:chr m:val="̇"/>
                        <m:ctrlPr>
                          <w:rPr>
                            <w:rFonts w:ascii="Cambria Math" w:hAnsi="Cambria Math" w:cs="Arial"/>
                            <w:i/>
                            <w:szCs w:val="18"/>
                            <w:lang w:val="en-GB"/>
                          </w:rPr>
                        </m:ctrlPr>
                      </m:accPr>
                      <m:e>
                        <m:r>
                          <w:rPr>
                            <w:rFonts w:ascii="Cambria Math" w:hAnsi="Cambria Math" w:cs="Arial"/>
                            <w:szCs w:val="18"/>
                            <w:lang w:val="en-GB"/>
                          </w:rPr>
                          <m:t>n</m:t>
                        </m:r>
                      </m:e>
                    </m:acc>
                  </m:e>
                  <m:sub>
                    <m:sSub>
                      <m:sSubPr>
                        <m:ctrlPr>
                          <w:rPr>
                            <w:rFonts w:ascii="Cambria Math" w:hAnsi="Cambria Math" w:cs="Arial"/>
                            <w:i/>
                            <w:szCs w:val="18"/>
                            <w:lang w:val="en-GB"/>
                          </w:rPr>
                        </m:ctrlPr>
                      </m:sSubPr>
                      <m:e>
                        <m:r>
                          <w:rPr>
                            <w:rFonts w:ascii="Cambria Math" w:hAnsi="Cambria Math" w:cs="Arial"/>
                            <w:szCs w:val="18"/>
                            <w:lang w:val="en-GB"/>
                          </w:rPr>
                          <m:t>N</m:t>
                        </m:r>
                      </m:e>
                      <m:sub>
                        <m:r>
                          <w:rPr>
                            <w:rFonts w:ascii="Cambria Math" w:hAnsi="Cambria Math" w:cs="Arial"/>
                            <w:szCs w:val="18"/>
                            <w:lang w:val="en-GB"/>
                          </w:rPr>
                          <m:t>2</m:t>
                        </m:r>
                      </m:sub>
                    </m:sSub>
                  </m:sub>
                </m:sSub>
              </m:oMath>
            </m:oMathPara>
          </w:p>
        </w:tc>
        <w:tc>
          <w:tcPr>
            <w:tcW w:w="1134" w:type="dxa"/>
            <w:shd w:val="clear" w:color="auto" w:fill="FFFFFF"/>
          </w:tcPr>
          <w:p w14:paraId="63EACE6F" w14:textId="5A3AB2EF" w:rsidR="00DD7CFC" w:rsidRPr="00B57B36" w:rsidRDefault="00DD7CFC" w:rsidP="00613CCD">
            <w:pPr>
              <w:pStyle w:val="CETBodytext"/>
              <w:ind w:right="-1"/>
              <w:rPr>
                <w:rFonts w:cs="Arial"/>
                <w:szCs w:val="18"/>
                <w:lang w:val="en-GB"/>
              </w:rPr>
            </w:pPr>
            <w:r>
              <w:rPr>
                <w:rFonts w:cs="Arial"/>
                <w:szCs w:val="18"/>
                <w:lang w:val="en-GB"/>
              </w:rPr>
              <w:t>165.4</w:t>
            </w:r>
          </w:p>
        </w:tc>
        <w:tc>
          <w:tcPr>
            <w:tcW w:w="1134" w:type="dxa"/>
            <w:shd w:val="clear" w:color="auto" w:fill="FFFFFF"/>
          </w:tcPr>
          <w:p w14:paraId="41FE58FB" w14:textId="77777777" w:rsidR="00DD7CFC" w:rsidRPr="00B57B36" w:rsidRDefault="00DD7CFC" w:rsidP="00613CCD">
            <w:pPr>
              <w:pStyle w:val="CETBodytext"/>
              <w:ind w:right="-1"/>
              <w:rPr>
                <w:rFonts w:cs="Arial"/>
                <w:szCs w:val="18"/>
                <w:lang w:val="en-GB"/>
              </w:rPr>
            </w:pPr>
          </w:p>
        </w:tc>
        <w:tc>
          <w:tcPr>
            <w:tcW w:w="1134" w:type="dxa"/>
            <w:shd w:val="clear" w:color="auto" w:fill="FFFFFF"/>
          </w:tcPr>
          <w:p w14:paraId="55A87B29" w14:textId="77777777" w:rsidR="00DD7CFC" w:rsidRPr="00B57B36" w:rsidRDefault="00DD7CFC" w:rsidP="00613CCD">
            <w:pPr>
              <w:pStyle w:val="CETBodytext"/>
              <w:ind w:right="-1"/>
              <w:rPr>
                <w:rFonts w:cs="Arial"/>
                <w:szCs w:val="18"/>
                <w:lang w:val="en-GB"/>
              </w:rPr>
            </w:pPr>
          </w:p>
        </w:tc>
      </w:tr>
    </w:tbl>
    <w:p w14:paraId="2E482243" w14:textId="6C6548D2" w:rsidR="00F220EF" w:rsidRPr="00B57B36" w:rsidRDefault="00F220EF" w:rsidP="00F220EF">
      <w:pPr>
        <w:pStyle w:val="CETheadingx"/>
      </w:pPr>
      <w:r>
        <w:t>Inter-refrigerated reverse nitrogen cycle</w:t>
      </w:r>
    </w:p>
    <w:p w14:paraId="4B897872" w14:textId="33AD2444" w:rsidR="00F220EF" w:rsidRDefault="00F220EF" w:rsidP="00F220EF">
      <w:pPr>
        <w:pStyle w:val="CETBodytext"/>
        <w:rPr>
          <w:lang w:val="en-GB"/>
        </w:rPr>
      </w:pPr>
      <w:r w:rsidRPr="00F220EF">
        <w:rPr>
          <w:lang w:val="en-GB"/>
        </w:rPr>
        <w:t xml:space="preserve">Inter-refrigerated reverse nitrogen cycle bears similarities to the simple </w:t>
      </w:r>
      <w:r w:rsidR="00EE735A">
        <w:rPr>
          <w:lang w:val="en-GB"/>
        </w:rPr>
        <w:t xml:space="preserve">reverse </w:t>
      </w:r>
      <w:r w:rsidRPr="00F220EF">
        <w:rPr>
          <w:lang w:val="en-GB"/>
        </w:rPr>
        <w:t>nitrogen cycle,</w:t>
      </w:r>
      <w:r>
        <w:rPr>
          <w:lang w:val="en-GB"/>
        </w:rPr>
        <w:t xml:space="preserve"> </w:t>
      </w:r>
      <w:r w:rsidRPr="00F220EF">
        <w:rPr>
          <w:lang w:val="en-GB"/>
        </w:rPr>
        <w:t>except for the refrigerant compression part</w:t>
      </w:r>
      <w:r w:rsidR="00A50FA0">
        <w:rPr>
          <w:lang w:val="en-GB"/>
        </w:rPr>
        <w:t>,</w:t>
      </w:r>
      <w:r w:rsidRPr="00F220EF">
        <w:rPr>
          <w:lang w:val="en-GB"/>
        </w:rPr>
        <w:t xml:space="preserve"> where a 2-stage intercooled compression is</w:t>
      </w:r>
      <w:r>
        <w:rPr>
          <w:lang w:val="en-GB"/>
        </w:rPr>
        <w:t xml:space="preserve"> </w:t>
      </w:r>
      <w:r w:rsidRPr="00F220EF">
        <w:rPr>
          <w:lang w:val="en-GB"/>
        </w:rPr>
        <w:t xml:space="preserve">used to decrease the overall compression power, as shown in Figure </w:t>
      </w:r>
      <w:r>
        <w:rPr>
          <w:lang w:val="en-GB"/>
        </w:rPr>
        <w:t>2</w:t>
      </w:r>
      <w:r w:rsidRPr="00F220EF">
        <w:rPr>
          <w:lang w:val="en-GB"/>
        </w:rPr>
        <w:t xml:space="preserve">. </w:t>
      </w:r>
      <w:r>
        <w:rPr>
          <w:lang w:val="en-GB"/>
        </w:rPr>
        <w:t xml:space="preserve">With reference to </w:t>
      </w:r>
      <w:r w:rsidR="00EE735A">
        <w:rPr>
          <w:lang w:val="en-GB"/>
        </w:rPr>
        <w:t>this figure</w:t>
      </w:r>
      <w:r w:rsidR="006C2620">
        <w:rPr>
          <w:lang w:val="en-GB"/>
        </w:rPr>
        <w:t>, t</w:t>
      </w:r>
      <w:r w:rsidRPr="00F220EF">
        <w:rPr>
          <w:lang w:val="en-GB"/>
        </w:rPr>
        <w:t>he</w:t>
      </w:r>
      <w:r>
        <w:rPr>
          <w:lang w:val="en-GB"/>
        </w:rPr>
        <w:t xml:space="preserve"> </w:t>
      </w:r>
      <w:r w:rsidRPr="00F220EF">
        <w:rPr>
          <w:lang w:val="en-GB"/>
        </w:rPr>
        <w:t>optimization variables for this case are the following</w:t>
      </w:r>
      <w:r>
        <w:rPr>
          <w:lang w:val="en-GB"/>
        </w:rPr>
        <w:t xml:space="preserve"> ones: </w:t>
      </w:r>
      <w:r w:rsidRPr="00F220EF">
        <w:rPr>
          <w:lang w:val="en-GB"/>
        </w:rPr>
        <w:t>BM liquefaction pressure, P</w:t>
      </w:r>
      <w:r w:rsidRPr="00EB1936">
        <w:rPr>
          <w:vertAlign w:val="subscript"/>
          <w:lang w:val="en-GB"/>
        </w:rPr>
        <w:t>2</w:t>
      </w:r>
      <w:r w:rsidRPr="00F220EF">
        <w:rPr>
          <w:lang w:val="en-GB"/>
        </w:rPr>
        <w:t>;</w:t>
      </w:r>
      <w:r>
        <w:rPr>
          <w:lang w:val="en-GB"/>
        </w:rPr>
        <w:t xml:space="preserve"> </w:t>
      </w:r>
      <w:r w:rsidRPr="00F220EF">
        <w:rPr>
          <w:lang w:val="en-GB"/>
        </w:rPr>
        <w:t>maximum pressure in the refrigeration cycle, P</w:t>
      </w:r>
      <w:r w:rsidRPr="00EB1936">
        <w:rPr>
          <w:vertAlign w:val="subscript"/>
          <w:lang w:val="en-GB"/>
        </w:rPr>
        <w:t>6</w:t>
      </w:r>
      <w:r w:rsidRPr="00F220EF">
        <w:rPr>
          <w:lang w:val="en-GB"/>
        </w:rPr>
        <w:t>;</w:t>
      </w:r>
      <w:r>
        <w:rPr>
          <w:lang w:val="en-GB"/>
        </w:rPr>
        <w:t xml:space="preserve"> </w:t>
      </w:r>
      <w:r w:rsidRPr="00F220EF">
        <w:rPr>
          <w:lang w:val="en-GB"/>
        </w:rPr>
        <w:t>minimum pressure in the refrigeration cycle, P</w:t>
      </w:r>
      <w:r w:rsidRPr="00EB1936">
        <w:rPr>
          <w:vertAlign w:val="subscript"/>
          <w:lang w:val="en-GB"/>
        </w:rPr>
        <w:t>9</w:t>
      </w:r>
      <w:r w:rsidRPr="00F220EF">
        <w:rPr>
          <w:lang w:val="en-GB"/>
        </w:rPr>
        <w:t>;</w:t>
      </w:r>
      <w:r>
        <w:rPr>
          <w:lang w:val="en-GB"/>
        </w:rPr>
        <w:t xml:space="preserve"> </w:t>
      </w:r>
      <w:r w:rsidRPr="00F220EF">
        <w:rPr>
          <w:lang w:val="en-GB"/>
        </w:rPr>
        <w:t>intermediate compressi</w:t>
      </w:r>
      <w:r w:rsidRPr="00FB0999">
        <w:rPr>
          <w:lang w:val="en-GB"/>
        </w:rPr>
        <w:t>on pressure, P</w:t>
      </w:r>
      <w:r w:rsidRPr="00FB0999">
        <w:rPr>
          <w:vertAlign w:val="subscript"/>
          <w:lang w:val="en-GB"/>
        </w:rPr>
        <w:t>4</w:t>
      </w:r>
      <w:r w:rsidRPr="00FB0999">
        <w:rPr>
          <w:lang w:val="en-GB"/>
        </w:rPr>
        <w:t>; refrigerant molar flow rate</w:t>
      </w:r>
      <w:r w:rsidR="006C2620" w:rsidRPr="00FB0999">
        <w:rPr>
          <w:lang w:val="en-GB"/>
        </w:rPr>
        <w:t xml:space="preserve">. </w:t>
      </w:r>
      <w:r w:rsidR="003C712D" w:rsidRPr="00FB0999">
        <w:rPr>
          <w:lang w:val="en-GB"/>
        </w:rPr>
        <w:t>In this case, when the intermediate pressure is higher than the maximum pressure of the cycle, a fixed value of 10</w:t>
      </w:r>
      <w:r w:rsidR="003C712D" w:rsidRPr="00FB0999">
        <w:rPr>
          <w:vertAlign w:val="superscript"/>
          <w:lang w:val="en-GB"/>
        </w:rPr>
        <w:t>16</w:t>
      </w:r>
      <w:r w:rsidR="003C712D" w:rsidRPr="00FB0999">
        <w:rPr>
          <w:lang w:val="en-GB"/>
        </w:rPr>
        <w:t xml:space="preserve"> has been given to the objective function as penalization (</w:t>
      </w:r>
      <w:proofErr w:type="spellStart"/>
      <w:proofErr w:type="gramStart"/>
      <w:r w:rsidR="003C712D" w:rsidRPr="00FB0999">
        <w:rPr>
          <w:lang w:val="en-GB"/>
        </w:rPr>
        <w:t>Eq</w:t>
      </w:r>
      <w:proofErr w:type="spellEnd"/>
      <w:r w:rsidR="003C712D" w:rsidRPr="00FB0999">
        <w:rPr>
          <w:lang w:val="en-GB"/>
        </w:rPr>
        <w:t>(</w:t>
      </w:r>
      <w:proofErr w:type="gramEnd"/>
      <w:r w:rsidR="003C712D" w:rsidRPr="00FB0999">
        <w:rPr>
          <w:lang w:val="en-GB"/>
        </w:rPr>
        <w:t xml:space="preserve">2)). </w:t>
      </w:r>
      <w:r w:rsidRPr="00FB0999">
        <w:rPr>
          <w:lang w:val="en-GB"/>
        </w:rPr>
        <w:t>The</w:t>
      </w:r>
      <w:r w:rsidRPr="00DD7CFC">
        <w:rPr>
          <w:lang w:val="en-GB"/>
        </w:rPr>
        <w:t xml:space="preserve"> </w:t>
      </w:r>
      <w:r>
        <w:rPr>
          <w:lang w:val="en-GB"/>
        </w:rPr>
        <w:t>optimal value</w:t>
      </w:r>
      <w:r w:rsidR="00EE735A">
        <w:rPr>
          <w:lang w:val="en-GB"/>
        </w:rPr>
        <w:t xml:space="preserve"> for </w:t>
      </w:r>
      <w:r w:rsidR="003C712D">
        <w:rPr>
          <w:lang w:val="en-GB"/>
        </w:rPr>
        <w:t>the selected decision</w:t>
      </w:r>
      <w:r w:rsidR="00EE735A">
        <w:rPr>
          <w:lang w:val="en-GB"/>
        </w:rPr>
        <w:t xml:space="preserve"> variables</w:t>
      </w:r>
      <w:r>
        <w:rPr>
          <w:lang w:val="en-GB"/>
        </w:rPr>
        <w:t xml:space="preserve"> is reported in Table 2.</w:t>
      </w:r>
    </w:p>
    <w:p w14:paraId="1397C670" w14:textId="224EB60B" w:rsidR="00083E86" w:rsidRDefault="00DE1F9D" w:rsidP="00553C14">
      <w:pPr>
        <w:pStyle w:val="CETBodytext"/>
        <w:keepNext/>
        <w:spacing w:before="240" w:after="240"/>
        <w:rPr>
          <w:lang w:val="en-GB"/>
        </w:rPr>
      </w:pPr>
      <w:r w:rsidRPr="00DE1F9D">
        <w:rPr>
          <w:noProof/>
        </w:rPr>
        <w:drawing>
          <wp:inline distT="0" distB="0" distL="0" distR="0" wp14:anchorId="77E6DDB6" wp14:editId="5AB42CCA">
            <wp:extent cx="4489200" cy="1627200"/>
            <wp:effectExtent l="0" t="0" r="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9200" cy="1627200"/>
                    </a:xfrm>
                    <a:prstGeom prst="rect">
                      <a:avLst/>
                    </a:prstGeom>
                    <a:noFill/>
                    <a:ln>
                      <a:noFill/>
                    </a:ln>
                  </pic:spPr>
                </pic:pic>
              </a:graphicData>
            </a:graphic>
          </wp:inline>
        </w:drawing>
      </w:r>
    </w:p>
    <w:p w14:paraId="7D6D86DA" w14:textId="254291CB" w:rsidR="006C2620" w:rsidRPr="00BD077D" w:rsidRDefault="006C2620" w:rsidP="006C2620">
      <w:pPr>
        <w:pStyle w:val="CETCaption"/>
      </w:pPr>
      <w:r w:rsidRPr="00BD077D">
        <w:rPr>
          <w:rStyle w:val="CETCaptionCarattere"/>
          <w:i/>
        </w:rPr>
        <w:t xml:space="preserve">Figure </w:t>
      </w:r>
      <w:r>
        <w:rPr>
          <w:rStyle w:val="CETCaptionCarattere"/>
          <w:i/>
        </w:rPr>
        <w:t>2</w:t>
      </w:r>
      <w:r w:rsidRPr="00BD077D">
        <w:rPr>
          <w:rStyle w:val="CETCaptionCarattere"/>
          <w:i/>
        </w:rPr>
        <w:t xml:space="preserve">: </w:t>
      </w:r>
      <w:r>
        <w:rPr>
          <w:rStyle w:val="CETCaptionCarattere"/>
          <w:i/>
        </w:rPr>
        <w:t>Scheme of the inter-refrigerated reverse nitrogen cycle</w:t>
      </w:r>
    </w:p>
    <w:p w14:paraId="6DDB59B2" w14:textId="65C9E605" w:rsidR="006C2620" w:rsidRPr="00B57B36" w:rsidRDefault="006C2620" w:rsidP="006C2620">
      <w:pPr>
        <w:pStyle w:val="CETTabletitle"/>
      </w:pPr>
      <w:r w:rsidRPr="00B57B36">
        <w:lastRenderedPageBreak/>
        <w:t xml:space="preserve">Table </w:t>
      </w:r>
      <w:r w:rsidR="00083E86">
        <w:t>2</w:t>
      </w:r>
      <w:r w:rsidRPr="00B57B36">
        <w:t xml:space="preserve">: </w:t>
      </w:r>
      <w:r>
        <w:t>Optimal decision variables for the i</w:t>
      </w:r>
      <w:r>
        <w:rPr>
          <w:rStyle w:val="CETCaptionCarattere"/>
          <w:i/>
        </w:rPr>
        <w:t>nter-refrigerated reverse nitrogen cycle</w:t>
      </w:r>
      <w:r>
        <w:t xml:space="preserve"> in Figure 2</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345"/>
        <w:gridCol w:w="1134"/>
        <w:gridCol w:w="1134"/>
        <w:gridCol w:w="1134"/>
        <w:gridCol w:w="1134"/>
      </w:tblGrid>
      <w:tr w:rsidR="006C2620" w:rsidRPr="00B57B36" w14:paraId="70C691E1" w14:textId="77777777" w:rsidTr="001A7C3F">
        <w:tc>
          <w:tcPr>
            <w:tcW w:w="3345" w:type="dxa"/>
            <w:tcBorders>
              <w:top w:val="single" w:sz="12" w:space="0" w:color="008000"/>
              <w:bottom w:val="single" w:sz="6" w:space="0" w:color="008000"/>
            </w:tcBorders>
            <w:shd w:val="clear" w:color="auto" w:fill="FFFFFF"/>
          </w:tcPr>
          <w:p w14:paraId="130CEF4A" w14:textId="77777777" w:rsidR="006C2620" w:rsidRPr="00B57B36" w:rsidRDefault="006C2620" w:rsidP="00613CCD">
            <w:pPr>
              <w:pStyle w:val="CETBodytext"/>
              <w:rPr>
                <w:lang w:val="en-GB"/>
              </w:rPr>
            </w:pPr>
            <w:r>
              <w:rPr>
                <w:lang w:val="en-GB"/>
              </w:rPr>
              <w:t>Variable</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72449377" w14:textId="77777777" w:rsidR="006C2620" w:rsidRPr="00B57B36" w:rsidRDefault="006C2620" w:rsidP="00613CCD">
            <w:pPr>
              <w:pStyle w:val="CETBodytext"/>
              <w:rPr>
                <w:lang w:val="en-GB"/>
              </w:rPr>
            </w:pPr>
            <w:r>
              <w:rPr>
                <w:lang w:val="en-GB"/>
              </w:rPr>
              <w:t>Symbol</w:t>
            </w:r>
          </w:p>
        </w:tc>
        <w:tc>
          <w:tcPr>
            <w:tcW w:w="1134" w:type="dxa"/>
            <w:tcBorders>
              <w:top w:val="single" w:sz="12" w:space="0" w:color="008000"/>
              <w:bottom w:val="single" w:sz="6" w:space="0" w:color="008000"/>
            </w:tcBorders>
            <w:shd w:val="clear" w:color="auto" w:fill="FFFFFF"/>
          </w:tcPr>
          <w:p w14:paraId="4BDA352A" w14:textId="77777777" w:rsidR="006C2620" w:rsidRPr="00B57B36" w:rsidRDefault="006C2620" w:rsidP="00613CCD">
            <w:pPr>
              <w:pStyle w:val="CETBodytext"/>
              <w:rPr>
                <w:lang w:val="en-GB"/>
              </w:rPr>
            </w:pPr>
            <w:r>
              <w:rPr>
                <w:lang w:val="en-GB"/>
              </w:rPr>
              <w:t>Optimal value</w:t>
            </w:r>
          </w:p>
        </w:tc>
        <w:tc>
          <w:tcPr>
            <w:tcW w:w="1134" w:type="dxa"/>
            <w:tcBorders>
              <w:top w:val="single" w:sz="12" w:space="0" w:color="008000"/>
              <w:bottom w:val="single" w:sz="6" w:space="0" w:color="008000"/>
            </w:tcBorders>
            <w:shd w:val="clear" w:color="auto" w:fill="FFFFFF"/>
          </w:tcPr>
          <w:p w14:paraId="0D366CB2" w14:textId="77777777" w:rsidR="006C2620" w:rsidRPr="00B57B36" w:rsidRDefault="006C2620" w:rsidP="00613CCD">
            <w:pPr>
              <w:pStyle w:val="CETBodytext"/>
              <w:ind w:right="-1"/>
              <w:rPr>
                <w:rFonts w:cs="Arial"/>
                <w:szCs w:val="18"/>
                <w:lang w:val="en-GB"/>
              </w:rPr>
            </w:pPr>
          </w:p>
        </w:tc>
        <w:tc>
          <w:tcPr>
            <w:tcW w:w="1134" w:type="dxa"/>
            <w:tcBorders>
              <w:top w:val="single" w:sz="12" w:space="0" w:color="008000"/>
              <w:bottom w:val="single" w:sz="6" w:space="0" w:color="008000"/>
            </w:tcBorders>
            <w:shd w:val="clear" w:color="auto" w:fill="FFFFFF"/>
          </w:tcPr>
          <w:p w14:paraId="7BF4935F" w14:textId="77777777" w:rsidR="006C2620" w:rsidRPr="00B57B36" w:rsidRDefault="006C2620" w:rsidP="00613CCD">
            <w:pPr>
              <w:pStyle w:val="CETBodytext"/>
              <w:ind w:right="-1"/>
              <w:rPr>
                <w:rFonts w:cs="Arial"/>
                <w:szCs w:val="18"/>
                <w:lang w:val="en-GB"/>
              </w:rPr>
            </w:pPr>
          </w:p>
        </w:tc>
      </w:tr>
      <w:tr w:rsidR="006C2620" w:rsidRPr="00B57B36" w14:paraId="580D2AA1" w14:textId="77777777" w:rsidTr="001A7C3F">
        <w:tc>
          <w:tcPr>
            <w:tcW w:w="3345" w:type="dxa"/>
            <w:shd w:val="clear" w:color="auto" w:fill="FFFFFF"/>
          </w:tcPr>
          <w:p w14:paraId="0CD75403" w14:textId="77777777" w:rsidR="006C2620" w:rsidRPr="00B57B36" w:rsidRDefault="006C2620" w:rsidP="00613CCD">
            <w:pPr>
              <w:pStyle w:val="CETBodytext"/>
              <w:rPr>
                <w:lang w:val="en-GB"/>
              </w:rPr>
            </w:pPr>
            <w:r>
              <w:rPr>
                <w:lang w:val="en-GB"/>
              </w:rPr>
              <w:t>BM liquefaction pressure, kPa</w:t>
            </w:r>
          </w:p>
        </w:tc>
        <w:tc>
          <w:tcPr>
            <w:tcW w:w="1134" w:type="dxa"/>
            <w:shd w:val="clear" w:color="auto" w:fill="FFFFFF"/>
          </w:tcPr>
          <w:p w14:paraId="3BBEA087" w14:textId="77777777" w:rsidR="006C2620" w:rsidRPr="00B57B36" w:rsidRDefault="006C2620" w:rsidP="00613CCD">
            <w:pPr>
              <w:pStyle w:val="CETBodytext"/>
              <w:rPr>
                <w:lang w:val="en-GB"/>
              </w:rPr>
            </w:pPr>
            <w:r>
              <w:rPr>
                <w:lang w:val="en-GB"/>
              </w:rPr>
              <w:t>P</w:t>
            </w:r>
            <w:r w:rsidRPr="00EB1936">
              <w:rPr>
                <w:vertAlign w:val="subscript"/>
                <w:lang w:val="en-GB"/>
              </w:rPr>
              <w:t>2</w:t>
            </w:r>
          </w:p>
        </w:tc>
        <w:tc>
          <w:tcPr>
            <w:tcW w:w="1134" w:type="dxa"/>
            <w:shd w:val="clear" w:color="auto" w:fill="FFFFFF"/>
          </w:tcPr>
          <w:p w14:paraId="1B211FAE" w14:textId="748D4E72" w:rsidR="006C2620" w:rsidRPr="00B57B36" w:rsidRDefault="00083E86" w:rsidP="00613CCD">
            <w:pPr>
              <w:pStyle w:val="CETBodytext"/>
              <w:rPr>
                <w:lang w:val="en-GB"/>
              </w:rPr>
            </w:pPr>
            <w:r>
              <w:rPr>
                <w:lang w:val="en-GB"/>
              </w:rPr>
              <w:t>3360</w:t>
            </w:r>
          </w:p>
        </w:tc>
        <w:tc>
          <w:tcPr>
            <w:tcW w:w="1134" w:type="dxa"/>
            <w:shd w:val="clear" w:color="auto" w:fill="FFFFFF"/>
          </w:tcPr>
          <w:p w14:paraId="60C9185F" w14:textId="77777777" w:rsidR="006C2620" w:rsidRPr="00B57B36" w:rsidRDefault="006C2620" w:rsidP="00613CCD">
            <w:pPr>
              <w:pStyle w:val="CETBodytext"/>
              <w:ind w:right="-1"/>
              <w:rPr>
                <w:rFonts w:cs="Arial"/>
                <w:szCs w:val="18"/>
                <w:lang w:val="en-GB"/>
              </w:rPr>
            </w:pPr>
          </w:p>
        </w:tc>
        <w:tc>
          <w:tcPr>
            <w:tcW w:w="1134" w:type="dxa"/>
            <w:shd w:val="clear" w:color="auto" w:fill="FFFFFF"/>
          </w:tcPr>
          <w:p w14:paraId="1DB8DD44" w14:textId="77777777" w:rsidR="006C2620" w:rsidRPr="00B57B36" w:rsidRDefault="006C2620" w:rsidP="00613CCD">
            <w:pPr>
              <w:pStyle w:val="CETBodytext"/>
              <w:ind w:right="-1"/>
              <w:rPr>
                <w:rFonts w:cs="Arial"/>
                <w:szCs w:val="18"/>
                <w:lang w:val="en-GB"/>
              </w:rPr>
            </w:pPr>
          </w:p>
        </w:tc>
      </w:tr>
      <w:tr w:rsidR="006C2620" w:rsidRPr="00B57B36" w14:paraId="41F64C7D" w14:textId="77777777" w:rsidTr="001A7C3F">
        <w:tc>
          <w:tcPr>
            <w:tcW w:w="3345" w:type="dxa"/>
            <w:shd w:val="clear" w:color="auto" w:fill="FFFFFF"/>
          </w:tcPr>
          <w:p w14:paraId="0C2953C9" w14:textId="77777777" w:rsidR="006C2620" w:rsidRDefault="006C2620" w:rsidP="00613CCD">
            <w:pPr>
              <w:pStyle w:val="CETBodytext"/>
              <w:rPr>
                <w:lang w:val="en-GB"/>
              </w:rPr>
            </w:pPr>
            <w:r>
              <w:rPr>
                <w:lang w:val="en-GB"/>
              </w:rPr>
              <w:t>Max. refrigeration cycle pressure, kPa</w:t>
            </w:r>
          </w:p>
        </w:tc>
        <w:tc>
          <w:tcPr>
            <w:tcW w:w="1134" w:type="dxa"/>
            <w:shd w:val="clear" w:color="auto" w:fill="FFFFFF"/>
          </w:tcPr>
          <w:p w14:paraId="287FEBB6" w14:textId="3371DA41" w:rsidR="006C2620" w:rsidRDefault="006C2620" w:rsidP="00613CCD">
            <w:pPr>
              <w:pStyle w:val="CETBodytext"/>
              <w:rPr>
                <w:lang w:val="en-GB"/>
              </w:rPr>
            </w:pPr>
            <w:r>
              <w:rPr>
                <w:lang w:val="en-GB"/>
              </w:rPr>
              <w:t>P</w:t>
            </w:r>
            <w:r w:rsidR="00083E86" w:rsidRPr="00EB1936">
              <w:rPr>
                <w:vertAlign w:val="subscript"/>
                <w:lang w:val="en-GB"/>
              </w:rPr>
              <w:t>6</w:t>
            </w:r>
          </w:p>
        </w:tc>
        <w:tc>
          <w:tcPr>
            <w:tcW w:w="1134" w:type="dxa"/>
            <w:shd w:val="clear" w:color="auto" w:fill="FFFFFF"/>
          </w:tcPr>
          <w:p w14:paraId="4E82669B" w14:textId="30597424" w:rsidR="006C2620" w:rsidRDefault="00083E86" w:rsidP="00613CCD">
            <w:pPr>
              <w:pStyle w:val="CETBodytext"/>
              <w:rPr>
                <w:lang w:val="en-GB"/>
              </w:rPr>
            </w:pPr>
            <w:r>
              <w:rPr>
                <w:lang w:val="en-GB"/>
              </w:rPr>
              <w:t>6881</w:t>
            </w:r>
          </w:p>
        </w:tc>
        <w:tc>
          <w:tcPr>
            <w:tcW w:w="1134" w:type="dxa"/>
            <w:shd w:val="clear" w:color="auto" w:fill="FFFFFF"/>
          </w:tcPr>
          <w:p w14:paraId="7BA718B4" w14:textId="77777777" w:rsidR="006C2620" w:rsidRPr="00B57B36" w:rsidRDefault="006C2620" w:rsidP="00613CCD">
            <w:pPr>
              <w:pStyle w:val="CETBodytext"/>
              <w:ind w:right="-1"/>
              <w:rPr>
                <w:rFonts w:cs="Arial"/>
                <w:szCs w:val="18"/>
                <w:lang w:val="en-GB"/>
              </w:rPr>
            </w:pPr>
          </w:p>
        </w:tc>
        <w:tc>
          <w:tcPr>
            <w:tcW w:w="1134" w:type="dxa"/>
            <w:shd w:val="clear" w:color="auto" w:fill="FFFFFF"/>
          </w:tcPr>
          <w:p w14:paraId="546BADC5" w14:textId="77777777" w:rsidR="006C2620" w:rsidRPr="00B57B36" w:rsidRDefault="006C2620" w:rsidP="00613CCD">
            <w:pPr>
              <w:pStyle w:val="CETBodytext"/>
              <w:ind w:right="-1"/>
              <w:rPr>
                <w:rFonts w:cs="Arial"/>
                <w:szCs w:val="18"/>
                <w:lang w:val="en-GB"/>
              </w:rPr>
            </w:pPr>
          </w:p>
        </w:tc>
      </w:tr>
      <w:tr w:rsidR="006C2620" w:rsidRPr="00B57B36" w14:paraId="327433F3" w14:textId="77777777" w:rsidTr="001A7C3F">
        <w:tc>
          <w:tcPr>
            <w:tcW w:w="3345" w:type="dxa"/>
            <w:shd w:val="clear" w:color="auto" w:fill="FFFFFF"/>
          </w:tcPr>
          <w:p w14:paraId="20E11CCC" w14:textId="77777777" w:rsidR="006C2620" w:rsidRDefault="006C2620" w:rsidP="00613CCD">
            <w:pPr>
              <w:pStyle w:val="CETBodytext"/>
              <w:rPr>
                <w:lang w:val="en-GB"/>
              </w:rPr>
            </w:pPr>
            <w:r>
              <w:rPr>
                <w:lang w:val="en-GB"/>
              </w:rPr>
              <w:t>Min. refrigeration cycle pressure, kPa</w:t>
            </w:r>
          </w:p>
        </w:tc>
        <w:tc>
          <w:tcPr>
            <w:tcW w:w="1134" w:type="dxa"/>
            <w:shd w:val="clear" w:color="auto" w:fill="FFFFFF"/>
          </w:tcPr>
          <w:p w14:paraId="771A793A" w14:textId="627856D0" w:rsidR="006C2620" w:rsidRDefault="006C2620" w:rsidP="00613CCD">
            <w:pPr>
              <w:pStyle w:val="CETBodytext"/>
              <w:rPr>
                <w:lang w:val="en-GB"/>
              </w:rPr>
            </w:pPr>
            <w:r>
              <w:rPr>
                <w:lang w:val="en-GB"/>
              </w:rPr>
              <w:t>P</w:t>
            </w:r>
            <w:r w:rsidR="00083E86" w:rsidRPr="00EB1936">
              <w:rPr>
                <w:vertAlign w:val="subscript"/>
                <w:lang w:val="en-GB"/>
              </w:rPr>
              <w:t>9</w:t>
            </w:r>
          </w:p>
        </w:tc>
        <w:tc>
          <w:tcPr>
            <w:tcW w:w="1134" w:type="dxa"/>
            <w:shd w:val="clear" w:color="auto" w:fill="FFFFFF"/>
          </w:tcPr>
          <w:p w14:paraId="4DA98BF9" w14:textId="4FD1A06F" w:rsidR="006C2620" w:rsidRDefault="00083E86" w:rsidP="00613CCD">
            <w:pPr>
              <w:pStyle w:val="CETBodytext"/>
              <w:rPr>
                <w:lang w:val="en-GB"/>
              </w:rPr>
            </w:pPr>
            <w:r>
              <w:rPr>
                <w:lang w:val="en-GB"/>
              </w:rPr>
              <w:t>564</w:t>
            </w:r>
          </w:p>
        </w:tc>
        <w:tc>
          <w:tcPr>
            <w:tcW w:w="1134" w:type="dxa"/>
            <w:shd w:val="clear" w:color="auto" w:fill="FFFFFF"/>
          </w:tcPr>
          <w:p w14:paraId="7C6BAA7E" w14:textId="77777777" w:rsidR="006C2620" w:rsidRPr="00B57B36" w:rsidRDefault="006C2620" w:rsidP="00613CCD">
            <w:pPr>
              <w:pStyle w:val="CETBodytext"/>
              <w:ind w:right="-1"/>
              <w:rPr>
                <w:rFonts w:cs="Arial"/>
                <w:szCs w:val="18"/>
                <w:lang w:val="en-GB"/>
              </w:rPr>
            </w:pPr>
          </w:p>
        </w:tc>
        <w:tc>
          <w:tcPr>
            <w:tcW w:w="1134" w:type="dxa"/>
            <w:shd w:val="clear" w:color="auto" w:fill="FFFFFF"/>
          </w:tcPr>
          <w:p w14:paraId="49789836" w14:textId="77777777" w:rsidR="006C2620" w:rsidRPr="00B57B36" w:rsidRDefault="006C2620" w:rsidP="00613CCD">
            <w:pPr>
              <w:pStyle w:val="CETBodytext"/>
              <w:ind w:right="-1"/>
              <w:rPr>
                <w:rFonts w:cs="Arial"/>
                <w:szCs w:val="18"/>
                <w:lang w:val="en-GB"/>
              </w:rPr>
            </w:pPr>
          </w:p>
        </w:tc>
      </w:tr>
      <w:tr w:rsidR="00083E86" w:rsidRPr="00B57B36" w14:paraId="6CD8B9F1" w14:textId="77777777" w:rsidTr="001A7C3F">
        <w:tc>
          <w:tcPr>
            <w:tcW w:w="3345" w:type="dxa"/>
            <w:shd w:val="clear" w:color="auto" w:fill="FFFFFF"/>
          </w:tcPr>
          <w:p w14:paraId="07DCC9C4" w14:textId="767A86C3" w:rsidR="00083E86" w:rsidRDefault="00083E86" w:rsidP="00613CCD">
            <w:pPr>
              <w:pStyle w:val="CETBodytext"/>
              <w:ind w:right="-1"/>
              <w:rPr>
                <w:rFonts w:cs="Arial"/>
                <w:szCs w:val="18"/>
                <w:lang w:val="en-GB"/>
              </w:rPr>
            </w:pPr>
            <w:r>
              <w:rPr>
                <w:rFonts w:cs="Arial"/>
                <w:szCs w:val="18"/>
                <w:lang w:val="en-GB"/>
              </w:rPr>
              <w:t>Interm</w:t>
            </w:r>
            <w:r w:rsidR="001A7C3F">
              <w:rPr>
                <w:rFonts w:cs="Arial"/>
                <w:szCs w:val="18"/>
                <w:lang w:val="en-GB"/>
              </w:rPr>
              <w:t>ediate</w:t>
            </w:r>
            <w:r>
              <w:rPr>
                <w:rFonts w:cs="Arial"/>
                <w:szCs w:val="18"/>
                <w:lang w:val="en-GB"/>
              </w:rPr>
              <w:t xml:space="preserve"> </w:t>
            </w:r>
            <w:r w:rsidR="001A7C3F">
              <w:rPr>
                <w:rFonts w:cs="Arial"/>
                <w:szCs w:val="18"/>
                <w:lang w:val="en-GB"/>
              </w:rPr>
              <w:t>c</w:t>
            </w:r>
            <w:r>
              <w:rPr>
                <w:rFonts w:cs="Arial"/>
                <w:szCs w:val="18"/>
                <w:lang w:val="en-GB"/>
              </w:rPr>
              <w:t>ompression pressure, kPa</w:t>
            </w:r>
          </w:p>
        </w:tc>
        <w:tc>
          <w:tcPr>
            <w:tcW w:w="1134" w:type="dxa"/>
            <w:shd w:val="clear" w:color="auto" w:fill="FFFFFF"/>
          </w:tcPr>
          <w:p w14:paraId="3C351548" w14:textId="4983D096" w:rsidR="00083E86" w:rsidRDefault="00083E86" w:rsidP="00613CCD">
            <w:pPr>
              <w:pStyle w:val="CETBodytext"/>
              <w:ind w:right="-1"/>
              <w:rPr>
                <w:rFonts w:cs="Arial"/>
                <w:szCs w:val="18"/>
                <w:lang w:val="en-GB"/>
              </w:rPr>
            </w:pPr>
            <w:r>
              <w:rPr>
                <w:rFonts w:cs="Arial"/>
                <w:szCs w:val="18"/>
                <w:lang w:val="en-GB"/>
              </w:rPr>
              <w:t>P</w:t>
            </w:r>
            <w:r w:rsidRPr="006E4D59">
              <w:rPr>
                <w:rFonts w:cs="Arial"/>
                <w:szCs w:val="18"/>
                <w:vertAlign w:val="subscript"/>
                <w:lang w:val="en-GB"/>
              </w:rPr>
              <w:t>4</w:t>
            </w:r>
          </w:p>
        </w:tc>
        <w:tc>
          <w:tcPr>
            <w:tcW w:w="1134" w:type="dxa"/>
            <w:shd w:val="clear" w:color="auto" w:fill="FFFFFF"/>
          </w:tcPr>
          <w:p w14:paraId="5B7E4405" w14:textId="02E985C0" w:rsidR="00083E86" w:rsidRDefault="00083E86" w:rsidP="00613CCD">
            <w:pPr>
              <w:pStyle w:val="CETBodytext"/>
              <w:ind w:right="-1"/>
              <w:rPr>
                <w:rFonts w:cs="Arial"/>
                <w:szCs w:val="18"/>
                <w:lang w:val="en-GB"/>
              </w:rPr>
            </w:pPr>
            <w:r>
              <w:rPr>
                <w:rFonts w:cs="Arial"/>
                <w:szCs w:val="18"/>
                <w:lang w:val="en-GB"/>
              </w:rPr>
              <w:t>2000</w:t>
            </w:r>
          </w:p>
        </w:tc>
        <w:tc>
          <w:tcPr>
            <w:tcW w:w="1134" w:type="dxa"/>
            <w:shd w:val="clear" w:color="auto" w:fill="FFFFFF"/>
          </w:tcPr>
          <w:p w14:paraId="16045DFE" w14:textId="77777777" w:rsidR="00083E86" w:rsidRPr="00B57B36" w:rsidRDefault="00083E86" w:rsidP="00613CCD">
            <w:pPr>
              <w:pStyle w:val="CETBodytext"/>
              <w:ind w:right="-1"/>
              <w:rPr>
                <w:rFonts w:cs="Arial"/>
                <w:szCs w:val="18"/>
                <w:lang w:val="en-GB"/>
              </w:rPr>
            </w:pPr>
          </w:p>
        </w:tc>
        <w:tc>
          <w:tcPr>
            <w:tcW w:w="1134" w:type="dxa"/>
            <w:shd w:val="clear" w:color="auto" w:fill="FFFFFF"/>
          </w:tcPr>
          <w:p w14:paraId="40969B83" w14:textId="77777777" w:rsidR="00083E86" w:rsidRPr="00B57B36" w:rsidRDefault="00083E86" w:rsidP="00613CCD">
            <w:pPr>
              <w:pStyle w:val="CETBodytext"/>
              <w:ind w:right="-1"/>
              <w:rPr>
                <w:rFonts w:cs="Arial"/>
                <w:szCs w:val="18"/>
                <w:lang w:val="en-GB"/>
              </w:rPr>
            </w:pPr>
          </w:p>
        </w:tc>
      </w:tr>
      <w:tr w:rsidR="00677951" w:rsidRPr="00B57B36" w14:paraId="0FFC3A4C" w14:textId="77777777" w:rsidTr="001A7C3F">
        <w:tc>
          <w:tcPr>
            <w:tcW w:w="3345" w:type="dxa"/>
            <w:shd w:val="clear" w:color="auto" w:fill="FFFFFF"/>
          </w:tcPr>
          <w:p w14:paraId="2EF9AD12" w14:textId="77777777" w:rsidR="00677951" w:rsidRPr="00B57B36" w:rsidRDefault="00677951" w:rsidP="00677951">
            <w:pPr>
              <w:pStyle w:val="CETBodytext"/>
              <w:ind w:right="-1"/>
              <w:rPr>
                <w:rFonts w:cs="Arial"/>
                <w:szCs w:val="18"/>
                <w:lang w:val="en-GB"/>
              </w:rPr>
            </w:pPr>
            <w:r>
              <w:rPr>
                <w:rFonts w:cs="Arial"/>
                <w:szCs w:val="18"/>
                <w:lang w:val="en-GB"/>
              </w:rPr>
              <w:t xml:space="preserve">Refrigerant molar flow rate, </w:t>
            </w:r>
            <w:proofErr w:type="spellStart"/>
            <w:r>
              <w:rPr>
                <w:rFonts w:cs="Arial"/>
                <w:szCs w:val="18"/>
                <w:lang w:val="en-GB"/>
              </w:rPr>
              <w:t>kmol</w:t>
            </w:r>
            <w:proofErr w:type="spellEnd"/>
            <w:r>
              <w:rPr>
                <w:rFonts w:cs="Arial"/>
                <w:szCs w:val="18"/>
                <w:lang w:val="en-GB"/>
              </w:rPr>
              <w:t>/h</w:t>
            </w:r>
          </w:p>
        </w:tc>
        <w:tc>
          <w:tcPr>
            <w:tcW w:w="1134" w:type="dxa"/>
            <w:shd w:val="clear" w:color="auto" w:fill="FFFFFF"/>
          </w:tcPr>
          <w:p w14:paraId="3B71636E" w14:textId="3E008CA1" w:rsidR="00677951" w:rsidRPr="00677951" w:rsidRDefault="00C63523" w:rsidP="00677951">
            <w:pPr>
              <w:pStyle w:val="CETBodytext"/>
              <w:ind w:right="-1"/>
              <w:jc w:val="left"/>
              <w:rPr>
                <w:rFonts w:cs="Arial"/>
                <w:szCs w:val="18"/>
                <w:lang w:val="en-GB"/>
              </w:rPr>
            </w:pPr>
            <m:oMathPara>
              <m:oMathParaPr>
                <m:jc m:val="left"/>
              </m:oMathParaPr>
              <m:oMath>
                <m:sSub>
                  <m:sSubPr>
                    <m:ctrlPr>
                      <w:rPr>
                        <w:rFonts w:ascii="Cambria Math" w:hAnsi="Cambria Math" w:cs="Arial"/>
                        <w:i/>
                        <w:szCs w:val="18"/>
                        <w:lang w:val="en-GB"/>
                      </w:rPr>
                    </m:ctrlPr>
                  </m:sSubPr>
                  <m:e>
                    <m:acc>
                      <m:accPr>
                        <m:chr m:val="̇"/>
                        <m:ctrlPr>
                          <w:rPr>
                            <w:rFonts w:ascii="Cambria Math" w:hAnsi="Cambria Math" w:cs="Arial"/>
                            <w:i/>
                            <w:szCs w:val="18"/>
                            <w:lang w:val="en-GB"/>
                          </w:rPr>
                        </m:ctrlPr>
                      </m:accPr>
                      <m:e>
                        <m:r>
                          <w:rPr>
                            <w:rFonts w:ascii="Cambria Math" w:hAnsi="Cambria Math" w:cs="Arial"/>
                            <w:szCs w:val="18"/>
                            <w:lang w:val="en-GB"/>
                          </w:rPr>
                          <m:t>n</m:t>
                        </m:r>
                      </m:e>
                    </m:acc>
                  </m:e>
                  <m:sub>
                    <m:sSub>
                      <m:sSubPr>
                        <m:ctrlPr>
                          <w:rPr>
                            <w:rFonts w:ascii="Cambria Math" w:hAnsi="Cambria Math" w:cs="Arial"/>
                            <w:i/>
                            <w:szCs w:val="18"/>
                            <w:lang w:val="en-GB"/>
                          </w:rPr>
                        </m:ctrlPr>
                      </m:sSubPr>
                      <m:e>
                        <m:r>
                          <w:rPr>
                            <w:rFonts w:ascii="Cambria Math" w:hAnsi="Cambria Math" w:cs="Arial"/>
                            <w:szCs w:val="18"/>
                            <w:lang w:val="en-GB"/>
                          </w:rPr>
                          <m:t>N</m:t>
                        </m:r>
                      </m:e>
                      <m:sub>
                        <m:r>
                          <w:rPr>
                            <w:rFonts w:ascii="Cambria Math" w:hAnsi="Cambria Math" w:cs="Arial"/>
                            <w:szCs w:val="18"/>
                            <w:lang w:val="en-GB"/>
                          </w:rPr>
                          <m:t>2</m:t>
                        </m:r>
                      </m:sub>
                    </m:sSub>
                  </m:sub>
                </m:sSub>
              </m:oMath>
            </m:oMathPara>
          </w:p>
        </w:tc>
        <w:tc>
          <w:tcPr>
            <w:tcW w:w="1134" w:type="dxa"/>
            <w:shd w:val="clear" w:color="auto" w:fill="FFFFFF"/>
          </w:tcPr>
          <w:p w14:paraId="08004F47" w14:textId="65B1E7D7" w:rsidR="00677951" w:rsidRPr="00B57B36" w:rsidRDefault="00677951" w:rsidP="00677951">
            <w:pPr>
              <w:pStyle w:val="CETBodytext"/>
              <w:ind w:right="-1"/>
              <w:rPr>
                <w:rFonts w:cs="Arial"/>
                <w:szCs w:val="18"/>
                <w:lang w:val="en-GB"/>
              </w:rPr>
            </w:pPr>
            <w:r>
              <w:rPr>
                <w:rFonts w:cs="Arial"/>
                <w:szCs w:val="18"/>
                <w:lang w:val="en-GB"/>
              </w:rPr>
              <w:t>87.58</w:t>
            </w:r>
          </w:p>
        </w:tc>
        <w:tc>
          <w:tcPr>
            <w:tcW w:w="1134" w:type="dxa"/>
            <w:shd w:val="clear" w:color="auto" w:fill="FFFFFF"/>
          </w:tcPr>
          <w:p w14:paraId="0EEE01E1" w14:textId="77777777" w:rsidR="00677951" w:rsidRPr="00B57B36" w:rsidRDefault="00677951" w:rsidP="00677951">
            <w:pPr>
              <w:pStyle w:val="CETBodytext"/>
              <w:ind w:right="-1"/>
              <w:rPr>
                <w:rFonts w:cs="Arial"/>
                <w:szCs w:val="18"/>
                <w:lang w:val="en-GB"/>
              </w:rPr>
            </w:pPr>
          </w:p>
        </w:tc>
        <w:tc>
          <w:tcPr>
            <w:tcW w:w="1134" w:type="dxa"/>
            <w:shd w:val="clear" w:color="auto" w:fill="FFFFFF"/>
          </w:tcPr>
          <w:p w14:paraId="5BCAD939" w14:textId="77777777" w:rsidR="00677951" w:rsidRPr="00B57B36" w:rsidRDefault="00677951" w:rsidP="00677951">
            <w:pPr>
              <w:pStyle w:val="CETBodytext"/>
              <w:ind w:right="-1"/>
              <w:rPr>
                <w:rFonts w:cs="Arial"/>
                <w:szCs w:val="18"/>
                <w:lang w:val="en-GB"/>
              </w:rPr>
            </w:pPr>
          </w:p>
        </w:tc>
      </w:tr>
    </w:tbl>
    <w:p w14:paraId="7DE96250" w14:textId="77777777" w:rsidR="006C2620" w:rsidRDefault="006C2620" w:rsidP="00F220EF">
      <w:pPr>
        <w:pStyle w:val="CETBodytext"/>
        <w:rPr>
          <w:lang w:val="en-GB"/>
        </w:rPr>
      </w:pPr>
    </w:p>
    <w:p w14:paraId="1AC120B0" w14:textId="740EBFB7" w:rsidR="009032FE" w:rsidRPr="00B57B36" w:rsidRDefault="009032FE" w:rsidP="009032FE">
      <w:pPr>
        <w:pStyle w:val="CETheadingx"/>
      </w:pPr>
      <w:r>
        <w:t>Dual</w:t>
      </w:r>
      <w:r w:rsidR="008D28A5">
        <w:t xml:space="preserve"> </w:t>
      </w:r>
      <w:r>
        <w:t>pressure reverse nitrogen cycle</w:t>
      </w:r>
    </w:p>
    <w:p w14:paraId="57C423A9" w14:textId="0786D92B" w:rsidR="009032FE" w:rsidRDefault="009032FE" w:rsidP="009032FE">
      <w:pPr>
        <w:pStyle w:val="CETBodytext"/>
        <w:rPr>
          <w:lang w:val="en-GB"/>
        </w:rPr>
      </w:pPr>
      <w:r w:rsidRPr="009032FE">
        <w:rPr>
          <w:lang w:val="en-GB"/>
        </w:rPr>
        <w:t>The dual pressure reverse nitrogen cycle</w:t>
      </w:r>
      <w:r>
        <w:rPr>
          <w:lang w:val="en-GB"/>
        </w:rPr>
        <w:t xml:space="preserve"> </w:t>
      </w:r>
      <w:r w:rsidRPr="009032FE">
        <w:rPr>
          <w:lang w:val="en-GB"/>
        </w:rPr>
        <w:t>has</w:t>
      </w:r>
      <w:r>
        <w:rPr>
          <w:lang w:val="en-GB"/>
        </w:rPr>
        <w:t xml:space="preserve"> </w:t>
      </w:r>
      <w:r w:rsidRPr="009032FE">
        <w:rPr>
          <w:lang w:val="en-GB"/>
        </w:rPr>
        <w:t>the advantage to generate less irreversibility thanks to a greater matching between the</w:t>
      </w:r>
      <w:r>
        <w:rPr>
          <w:lang w:val="en-GB"/>
        </w:rPr>
        <w:t xml:space="preserve"> </w:t>
      </w:r>
      <w:r w:rsidRPr="009032FE">
        <w:rPr>
          <w:lang w:val="en-GB"/>
        </w:rPr>
        <w:t>cold refrigeration curve and the warmer one and a lower compression work since only</w:t>
      </w:r>
      <w:r>
        <w:rPr>
          <w:lang w:val="en-GB"/>
        </w:rPr>
        <w:t xml:space="preserve"> </w:t>
      </w:r>
      <w:r w:rsidRPr="009032FE">
        <w:rPr>
          <w:lang w:val="en-GB"/>
        </w:rPr>
        <w:t>part of the refrigerant flow rate is expanded to the minimum pressure of the</w:t>
      </w:r>
      <w:r>
        <w:rPr>
          <w:lang w:val="en-GB"/>
        </w:rPr>
        <w:t xml:space="preserve"> </w:t>
      </w:r>
      <w:r w:rsidRPr="009032FE">
        <w:rPr>
          <w:lang w:val="en-GB"/>
        </w:rPr>
        <w:t>refrigeration cycle. The scheme adopted for this technology for biomethane</w:t>
      </w:r>
      <w:r>
        <w:rPr>
          <w:lang w:val="en-GB"/>
        </w:rPr>
        <w:t xml:space="preserve"> </w:t>
      </w:r>
      <w:r w:rsidRPr="009032FE">
        <w:rPr>
          <w:lang w:val="en-GB"/>
        </w:rPr>
        <w:t xml:space="preserve">liquefaction has been taken from the work by </w:t>
      </w:r>
      <w:proofErr w:type="spellStart"/>
      <w:r w:rsidRPr="009032FE">
        <w:rPr>
          <w:lang w:val="en-GB"/>
        </w:rPr>
        <w:t>Baccioli</w:t>
      </w:r>
      <w:proofErr w:type="spellEnd"/>
      <w:r w:rsidRPr="009032FE">
        <w:rPr>
          <w:lang w:val="en-GB"/>
        </w:rPr>
        <w:t xml:space="preserve"> et al. </w:t>
      </w:r>
      <w:r w:rsidR="008B0A93">
        <w:rPr>
          <w:lang w:val="en-GB"/>
        </w:rPr>
        <w:fldChar w:fldCharType="begin"/>
      </w:r>
      <w:r w:rsidR="00D53FE2">
        <w:rPr>
          <w:lang w:val="en-GB"/>
        </w:rPr>
        <w:instrText xml:space="preserve"> ADDIN EN.CITE &lt;EndNote&gt;&lt;Cite&gt;&lt;Author&gt;Baccioli&lt;/Author&gt;&lt;Year&gt;2018&lt;/Year&gt;&lt;RecNum&gt;2029&lt;/RecNum&gt;&lt;DisplayText&gt;(Baccioli et al., 2018)&lt;/DisplayText&gt;&lt;record&gt;&lt;rec-number&gt;2029&lt;/rec-number&gt;&lt;foreign-keys&gt;&lt;key app="EN" db-id="stz9sw5w2aavebe5dwyxrzpn9xfzftxr0ep2" timestamp="1737912230"&gt;2029&lt;/key&gt;&lt;/foreign-keys&gt;&lt;ref-type name="Journal Article"&gt;17&lt;/ref-type&gt;&lt;contributors&gt;&lt;authors&gt;&lt;author&gt;Baccioli, A&lt;/author&gt;&lt;author&gt;Antonelli, M&lt;/author&gt;&lt;author&gt;Frigo, S&lt;/author&gt;&lt;author&gt;Desideri, U&lt;/author&gt;&lt;author&gt;Pasini, G&lt;/author&gt;&lt;/authors&gt;&lt;/contributors&gt;&lt;titles&gt;&lt;title&gt;Small scale bio-LNG plant: Comparison of different biogas upgrading techniques&lt;/title&gt;&lt;secondary-title&gt;Applied Energy&lt;/secondary-title&gt;&lt;/titles&gt;&lt;periodical&gt;&lt;full-title&gt;Applied Energy&lt;/full-title&gt;&lt;abbr-2&gt;Appl. Energ.&lt;/abbr-2&gt;&lt;/periodical&gt;&lt;pages&gt;328-335&lt;/pages&gt;&lt;volume&gt;217&lt;/volume&gt;&lt;dates&gt;&lt;year&gt;2018&lt;/year&gt;&lt;/dates&gt;&lt;isbn&gt;0306-2619&lt;/isbn&gt;&lt;urls&gt;&lt;/urls&gt;&lt;/record&gt;&lt;/Cite&gt;&lt;/EndNote&gt;</w:instrText>
      </w:r>
      <w:r w:rsidR="008B0A93">
        <w:rPr>
          <w:lang w:val="en-GB"/>
        </w:rPr>
        <w:fldChar w:fldCharType="separate"/>
      </w:r>
      <w:r w:rsidR="00D53FE2">
        <w:rPr>
          <w:noProof/>
          <w:lang w:val="en-GB"/>
        </w:rPr>
        <w:t>(Baccioli et al., 2018)</w:t>
      </w:r>
      <w:r w:rsidR="008B0A93">
        <w:rPr>
          <w:lang w:val="en-GB"/>
        </w:rPr>
        <w:fldChar w:fldCharType="end"/>
      </w:r>
      <w:r w:rsidR="008B0A93">
        <w:rPr>
          <w:lang w:val="en-GB"/>
        </w:rPr>
        <w:t xml:space="preserve"> </w:t>
      </w:r>
      <w:r w:rsidRPr="009032FE">
        <w:rPr>
          <w:lang w:val="en-GB"/>
        </w:rPr>
        <w:t>and is illustrated</w:t>
      </w:r>
      <w:r>
        <w:rPr>
          <w:lang w:val="en-GB"/>
        </w:rPr>
        <w:t xml:space="preserve"> </w:t>
      </w:r>
      <w:r w:rsidRPr="009032FE">
        <w:rPr>
          <w:lang w:val="en-GB"/>
        </w:rPr>
        <w:t xml:space="preserve">in Figure </w:t>
      </w:r>
      <w:r>
        <w:rPr>
          <w:lang w:val="en-GB"/>
        </w:rPr>
        <w:t>3</w:t>
      </w:r>
      <w:r w:rsidRPr="009032FE">
        <w:rPr>
          <w:lang w:val="en-GB"/>
        </w:rPr>
        <w:t xml:space="preserve">. </w:t>
      </w:r>
      <w:r w:rsidRPr="00DD7CFC">
        <w:rPr>
          <w:lang w:val="en-GB"/>
        </w:rPr>
        <w:t>The</w:t>
      </w:r>
      <w:r>
        <w:rPr>
          <w:lang w:val="en-GB"/>
        </w:rPr>
        <w:t xml:space="preserve"> optimal value of the decision variables is reported in Table 3.</w:t>
      </w:r>
    </w:p>
    <w:p w14:paraId="1ADD9A18" w14:textId="689291A9" w:rsidR="009032FE" w:rsidRDefault="006E5133" w:rsidP="00553C14">
      <w:pPr>
        <w:pStyle w:val="CETBodytext"/>
        <w:spacing w:before="240" w:after="240"/>
        <w:rPr>
          <w:lang w:val="en-GB"/>
        </w:rPr>
      </w:pPr>
      <w:r w:rsidRPr="006E5133">
        <w:rPr>
          <w:noProof/>
        </w:rPr>
        <w:drawing>
          <wp:inline distT="0" distB="0" distL="0" distR="0" wp14:anchorId="63F53C6D" wp14:editId="4AF7CAF2">
            <wp:extent cx="5169600" cy="225360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69600" cy="2253600"/>
                    </a:xfrm>
                    <a:prstGeom prst="rect">
                      <a:avLst/>
                    </a:prstGeom>
                    <a:noFill/>
                    <a:ln>
                      <a:noFill/>
                    </a:ln>
                  </pic:spPr>
                </pic:pic>
              </a:graphicData>
            </a:graphic>
          </wp:inline>
        </w:drawing>
      </w:r>
    </w:p>
    <w:p w14:paraId="426D3F05" w14:textId="7D38B586" w:rsidR="009032FE" w:rsidRPr="00BD077D" w:rsidRDefault="009032FE" w:rsidP="009032FE">
      <w:pPr>
        <w:pStyle w:val="CETCaption"/>
      </w:pPr>
      <w:r w:rsidRPr="00BD077D">
        <w:rPr>
          <w:rStyle w:val="CETCaptionCarattere"/>
          <w:i/>
        </w:rPr>
        <w:t xml:space="preserve">Figure </w:t>
      </w:r>
      <w:r>
        <w:rPr>
          <w:rStyle w:val="CETCaptionCarattere"/>
          <w:i/>
        </w:rPr>
        <w:t>3</w:t>
      </w:r>
      <w:r w:rsidRPr="00BD077D">
        <w:rPr>
          <w:rStyle w:val="CETCaptionCarattere"/>
          <w:i/>
        </w:rPr>
        <w:t xml:space="preserve">: </w:t>
      </w:r>
      <w:r>
        <w:rPr>
          <w:rStyle w:val="CETCaptionCarattere"/>
          <w:i/>
        </w:rPr>
        <w:t>Scheme of the dual</w:t>
      </w:r>
      <w:r w:rsidR="008D28A5">
        <w:rPr>
          <w:rStyle w:val="CETCaptionCarattere"/>
          <w:i/>
        </w:rPr>
        <w:t xml:space="preserve"> </w:t>
      </w:r>
      <w:r>
        <w:rPr>
          <w:rStyle w:val="CETCaptionCarattere"/>
          <w:i/>
        </w:rPr>
        <w:t>pressure reverse nitrogen cycle</w:t>
      </w:r>
    </w:p>
    <w:p w14:paraId="7528C6FD" w14:textId="188E99A5" w:rsidR="009032FE" w:rsidRPr="00B57B36" w:rsidRDefault="009032FE" w:rsidP="00A92115">
      <w:pPr>
        <w:pStyle w:val="CETTabletitle"/>
      </w:pPr>
      <w:r w:rsidRPr="00B57B36">
        <w:t xml:space="preserve">Table </w:t>
      </w:r>
      <w:r>
        <w:t>3</w:t>
      </w:r>
      <w:r w:rsidRPr="00B57B36">
        <w:t xml:space="preserve">: </w:t>
      </w:r>
      <w:r>
        <w:t>Optimal decision variables for the dual</w:t>
      </w:r>
      <w:r w:rsidR="008D28A5">
        <w:t xml:space="preserve"> </w:t>
      </w:r>
      <w:r>
        <w:t xml:space="preserve">pressure </w:t>
      </w:r>
      <w:r>
        <w:rPr>
          <w:rStyle w:val="CETCaptionCarattere"/>
          <w:i/>
        </w:rPr>
        <w:t>reverse nitrogen cycle</w:t>
      </w:r>
      <w:r>
        <w:t xml:space="preserve"> in Figure 3</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02"/>
        <w:gridCol w:w="1134"/>
        <w:gridCol w:w="1134"/>
        <w:gridCol w:w="1134"/>
        <w:gridCol w:w="1134"/>
      </w:tblGrid>
      <w:tr w:rsidR="009032FE" w:rsidRPr="00B57B36" w14:paraId="2EC0D4C3" w14:textId="77777777" w:rsidTr="003E3B5C">
        <w:tc>
          <w:tcPr>
            <w:tcW w:w="3402" w:type="dxa"/>
            <w:tcBorders>
              <w:top w:val="single" w:sz="12" w:space="0" w:color="008000"/>
              <w:bottom w:val="single" w:sz="6" w:space="0" w:color="008000"/>
            </w:tcBorders>
            <w:shd w:val="clear" w:color="auto" w:fill="FFFFFF"/>
          </w:tcPr>
          <w:p w14:paraId="3866C562" w14:textId="77777777" w:rsidR="009032FE" w:rsidRPr="00B57B36" w:rsidRDefault="009032FE" w:rsidP="00A92115">
            <w:pPr>
              <w:pStyle w:val="CETBodytext"/>
              <w:keepNext/>
              <w:rPr>
                <w:lang w:val="en-GB"/>
              </w:rPr>
            </w:pPr>
            <w:r>
              <w:rPr>
                <w:lang w:val="en-GB"/>
              </w:rPr>
              <w:t>Variable</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59AF029D" w14:textId="77777777" w:rsidR="009032FE" w:rsidRPr="00B57B36" w:rsidRDefault="009032FE" w:rsidP="00A92115">
            <w:pPr>
              <w:pStyle w:val="CETBodytext"/>
              <w:keepNext/>
              <w:rPr>
                <w:lang w:val="en-GB"/>
              </w:rPr>
            </w:pPr>
            <w:r>
              <w:rPr>
                <w:lang w:val="en-GB"/>
              </w:rPr>
              <w:t>Symbol</w:t>
            </w:r>
          </w:p>
        </w:tc>
        <w:tc>
          <w:tcPr>
            <w:tcW w:w="1134" w:type="dxa"/>
            <w:tcBorders>
              <w:top w:val="single" w:sz="12" w:space="0" w:color="008000"/>
              <w:bottom w:val="single" w:sz="6" w:space="0" w:color="008000"/>
            </w:tcBorders>
            <w:shd w:val="clear" w:color="auto" w:fill="FFFFFF"/>
          </w:tcPr>
          <w:p w14:paraId="2A041BDA" w14:textId="77777777" w:rsidR="009032FE" w:rsidRPr="00B57B36" w:rsidRDefault="009032FE" w:rsidP="00A92115">
            <w:pPr>
              <w:pStyle w:val="CETBodytext"/>
              <w:keepNext/>
              <w:rPr>
                <w:lang w:val="en-GB"/>
              </w:rPr>
            </w:pPr>
            <w:r>
              <w:rPr>
                <w:lang w:val="en-GB"/>
              </w:rPr>
              <w:t>Optimal value</w:t>
            </w:r>
          </w:p>
        </w:tc>
        <w:tc>
          <w:tcPr>
            <w:tcW w:w="1134" w:type="dxa"/>
            <w:tcBorders>
              <w:top w:val="single" w:sz="12" w:space="0" w:color="008000"/>
              <w:bottom w:val="single" w:sz="6" w:space="0" w:color="008000"/>
            </w:tcBorders>
            <w:shd w:val="clear" w:color="auto" w:fill="FFFFFF"/>
          </w:tcPr>
          <w:p w14:paraId="7AAD335D" w14:textId="77777777" w:rsidR="009032FE" w:rsidRPr="00B57B36" w:rsidRDefault="009032FE" w:rsidP="00A92115">
            <w:pPr>
              <w:pStyle w:val="CETBodytext"/>
              <w:keepNext/>
              <w:ind w:right="-1"/>
              <w:rPr>
                <w:rFonts w:cs="Arial"/>
                <w:szCs w:val="18"/>
                <w:lang w:val="en-GB"/>
              </w:rPr>
            </w:pPr>
          </w:p>
        </w:tc>
        <w:tc>
          <w:tcPr>
            <w:tcW w:w="1134" w:type="dxa"/>
            <w:tcBorders>
              <w:top w:val="single" w:sz="12" w:space="0" w:color="008000"/>
              <w:bottom w:val="single" w:sz="6" w:space="0" w:color="008000"/>
            </w:tcBorders>
            <w:shd w:val="clear" w:color="auto" w:fill="FFFFFF"/>
          </w:tcPr>
          <w:p w14:paraId="61986753" w14:textId="77777777" w:rsidR="009032FE" w:rsidRPr="00B57B36" w:rsidRDefault="009032FE" w:rsidP="00A92115">
            <w:pPr>
              <w:pStyle w:val="CETBodytext"/>
              <w:keepNext/>
              <w:ind w:right="-1"/>
              <w:rPr>
                <w:rFonts w:cs="Arial"/>
                <w:szCs w:val="18"/>
                <w:lang w:val="en-GB"/>
              </w:rPr>
            </w:pPr>
          </w:p>
        </w:tc>
      </w:tr>
      <w:tr w:rsidR="009032FE" w:rsidRPr="00B57B36" w14:paraId="1A07568B" w14:textId="77777777" w:rsidTr="00851FD1">
        <w:tc>
          <w:tcPr>
            <w:tcW w:w="3402" w:type="dxa"/>
            <w:shd w:val="clear" w:color="auto" w:fill="FFFFFF"/>
            <w:vAlign w:val="center"/>
          </w:tcPr>
          <w:p w14:paraId="36AF0F1D" w14:textId="77777777" w:rsidR="009032FE" w:rsidRPr="00B57B36" w:rsidRDefault="009032FE" w:rsidP="00A92115">
            <w:pPr>
              <w:pStyle w:val="CETBodytext"/>
              <w:keepNext/>
              <w:jc w:val="left"/>
              <w:rPr>
                <w:lang w:val="en-GB"/>
              </w:rPr>
            </w:pPr>
            <w:r>
              <w:rPr>
                <w:lang w:val="en-GB"/>
              </w:rPr>
              <w:t>BM liquefaction pressure, kPa</w:t>
            </w:r>
          </w:p>
        </w:tc>
        <w:tc>
          <w:tcPr>
            <w:tcW w:w="1134" w:type="dxa"/>
            <w:shd w:val="clear" w:color="auto" w:fill="FFFFFF"/>
            <w:vAlign w:val="center"/>
          </w:tcPr>
          <w:p w14:paraId="74E38FF1" w14:textId="77777777" w:rsidR="009032FE" w:rsidRPr="00677951" w:rsidRDefault="009032FE" w:rsidP="00851FD1">
            <w:pPr>
              <w:pStyle w:val="CETBodytext"/>
              <w:keepNext/>
              <w:jc w:val="left"/>
              <w:rPr>
                <w:lang w:val="en-GB"/>
              </w:rPr>
            </w:pPr>
            <w:r w:rsidRPr="00677951">
              <w:rPr>
                <w:lang w:val="en-GB"/>
              </w:rPr>
              <w:t>P</w:t>
            </w:r>
            <w:r w:rsidRPr="00677951">
              <w:rPr>
                <w:vertAlign w:val="subscript"/>
                <w:lang w:val="en-GB"/>
              </w:rPr>
              <w:t>2</w:t>
            </w:r>
          </w:p>
        </w:tc>
        <w:tc>
          <w:tcPr>
            <w:tcW w:w="1134" w:type="dxa"/>
            <w:shd w:val="clear" w:color="auto" w:fill="FFFFFF"/>
            <w:vAlign w:val="center"/>
          </w:tcPr>
          <w:p w14:paraId="59160A88" w14:textId="2144DB55" w:rsidR="009032FE" w:rsidRPr="00677951" w:rsidRDefault="009032FE" w:rsidP="00851FD1">
            <w:pPr>
              <w:pStyle w:val="CETBodytext"/>
              <w:keepNext/>
              <w:jc w:val="left"/>
              <w:rPr>
                <w:lang w:val="en-GB"/>
              </w:rPr>
            </w:pPr>
            <w:r w:rsidRPr="00677951">
              <w:rPr>
                <w:lang w:val="en-GB"/>
              </w:rPr>
              <w:t>3999.4</w:t>
            </w:r>
          </w:p>
        </w:tc>
        <w:tc>
          <w:tcPr>
            <w:tcW w:w="1134" w:type="dxa"/>
            <w:shd w:val="clear" w:color="auto" w:fill="FFFFFF"/>
          </w:tcPr>
          <w:p w14:paraId="3D9EF885" w14:textId="77777777" w:rsidR="009032FE" w:rsidRPr="00B57B36" w:rsidRDefault="009032FE" w:rsidP="00A92115">
            <w:pPr>
              <w:pStyle w:val="CETBodytext"/>
              <w:keepNext/>
              <w:ind w:right="-1"/>
              <w:rPr>
                <w:rFonts w:cs="Arial"/>
                <w:szCs w:val="18"/>
                <w:lang w:val="en-GB"/>
              </w:rPr>
            </w:pPr>
          </w:p>
        </w:tc>
        <w:tc>
          <w:tcPr>
            <w:tcW w:w="1134" w:type="dxa"/>
            <w:shd w:val="clear" w:color="auto" w:fill="FFFFFF"/>
          </w:tcPr>
          <w:p w14:paraId="16B0DC7D" w14:textId="77777777" w:rsidR="009032FE" w:rsidRPr="00B57B36" w:rsidRDefault="009032FE" w:rsidP="00A92115">
            <w:pPr>
              <w:pStyle w:val="CETBodytext"/>
              <w:keepNext/>
              <w:ind w:right="-1"/>
              <w:rPr>
                <w:rFonts w:cs="Arial"/>
                <w:szCs w:val="18"/>
                <w:lang w:val="en-GB"/>
              </w:rPr>
            </w:pPr>
          </w:p>
        </w:tc>
      </w:tr>
      <w:tr w:rsidR="009032FE" w:rsidRPr="00B57B36" w14:paraId="462BA363" w14:textId="77777777" w:rsidTr="00851FD1">
        <w:tc>
          <w:tcPr>
            <w:tcW w:w="3402" w:type="dxa"/>
            <w:shd w:val="clear" w:color="auto" w:fill="FFFFFF"/>
            <w:vAlign w:val="center"/>
          </w:tcPr>
          <w:p w14:paraId="268FCFA4" w14:textId="77777777" w:rsidR="009032FE" w:rsidRDefault="009032FE" w:rsidP="00A92115">
            <w:pPr>
              <w:pStyle w:val="CETBodytext"/>
              <w:keepNext/>
              <w:jc w:val="left"/>
              <w:rPr>
                <w:lang w:val="en-GB"/>
              </w:rPr>
            </w:pPr>
            <w:r>
              <w:rPr>
                <w:lang w:val="en-GB"/>
              </w:rPr>
              <w:t>Max. refrigeration cycle pressure, kPa</w:t>
            </w:r>
          </w:p>
        </w:tc>
        <w:tc>
          <w:tcPr>
            <w:tcW w:w="1134" w:type="dxa"/>
            <w:shd w:val="clear" w:color="auto" w:fill="FFFFFF"/>
            <w:vAlign w:val="center"/>
          </w:tcPr>
          <w:p w14:paraId="761D8271" w14:textId="6240DF7D" w:rsidR="009032FE" w:rsidRPr="00677951" w:rsidRDefault="009032FE" w:rsidP="00851FD1">
            <w:pPr>
              <w:pStyle w:val="CETBodytext"/>
              <w:keepNext/>
              <w:jc w:val="left"/>
              <w:rPr>
                <w:lang w:val="en-GB"/>
              </w:rPr>
            </w:pPr>
            <w:r w:rsidRPr="00677951">
              <w:rPr>
                <w:lang w:val="en-GB"/>
              </w:rPr>
              <w:t>P</w:t>
            </w:r>
            <w:r w:rsidR="0039253E">
              <w:rPr>
                <w:vertAlign w:val="subscript"/>
                <w:lang w:val="en-GB"/>
              </w:rPr>
              <w:t>7</w:t>
            </w:r>
          </w:p>
        </w:tc>
        <w:tc>
          <w:tcPr>
            <w:tcW w:w="1134" w:type="dxa"/>
            <w:shd w:val="clear" w:color="auto" w:fill="FFFFFF"/>
            <w:vAlign w:val="center"/>
          </w:tcPr>
          <w:p w14:paraId="65222E45" w14:textId="66AB73A3" w:rsidR="009032FE" w:rsidRPr="00677951" w:rsidRDefault="009032FE" w:rsidP="00851FD1">
            <w:pPr>
              <w:pStyle w:val="CETBodytext"/>
              <w:keepNext/>
              <w:jc w:val="left"/>
              <w:rPr>
                <w:lang w:val="en-GB"/>
              </w:rPr>
            </w:pPr>
            <w:r w:rsidRPr="00677951">
              <w:rPr>
                <w:lang w:val="en-GB"/>
              </w:rPr>
              <w:t>7560.7</w:t>
            </w:r>
          </w:p>
        </w:tc>
        <w:tc>
          <w:tcPr>
            <w:tcW w:w="1134" w:type="dxa"/>
            <w:shd w:val="clear" w:color="auto" w:fill="FFFFFF"/>
          </w:tcPr>
          <w:p w14:paraId="6B560BC5" w14:textId="77777777" w:rsidR="009032FE" w:rsidRPr="00B57B36" w:rsidRDefault="009032FE" w:rsidP="00A92115">
            <w:pPr>
              <w:pStyle w:val="CETBodytext"/>
              <w:keepNext/>
              <w:ind w:right="-1"/>
              <w:rPr>
                <w:rFonts w:cs="Arial"/>
                <w:szCs w:val="18"/>
                <w:lang w:val="en-GB"/>
              </w:rPr>
            </w:pPr>
          </w:p>
        </w:tc>
        <w:tc>
          <w:tcPr>
            <w:tcW w:w="1134" w:type="dxa"/>
            <w:shd w:val="clear" w:color="auto" w:fill="FFFFFF"/>
          </w:tcPr>
          <w:p w14:paraId="5F0E6453" w14:textId="77777777" w:rsidR="009032FE" w:rsidRPr="00B57B36" w:rsidRDefault="009032FE" w:rsidP="00A92115">
            <w:pPr>
              <w:pStyle w:val="CETBodytext"/>
              <w:keepNext/>
              <w:ind w:right="-1"/>
              <w:rPr>
                <w:rFonts w:cs="Arial"/>
                <w:szCs w:val="18"/>
                <w:lang w:val="en-GB"/>
              </w:rPr>
            </w:pPr>
          </w:p>
        </w:tc>
      </w:tr>
      <w:tr w:rsidR="009032FE" w:rsidRPr="00B57B36" w14:paraId="113FE12D" w14:textId="77777777" w:rsidTr="00851FD1">
        <w:tc>
          <w:tcPr>
            <w:tcW w:w="3402" w:type="dxa"/>
            <w:shd w:val="clear" w:color="auto" w:fill="FFFFFF"/>
            <w:vAlign w:val="center"/>
          </w:tcPr>
          <w:p w14:paraId="1327E1A3" w14:textId="77777777" w:rsidR="009032FE" w:rsidRDefault="009032FE" w:rsidP="00A92115">
            <w:pPr>
              <w:pStyle w:val="CETBodytext"/>
              <w:keepNext/>
              <w:jc w:val="left"/>
              <w:rPr>
                <w:lang w:val="en-GB"/>
              </w:rPr>
            </w:pPr>
            <w:r>
              <w:rPr>
                <w:lang w:val="en-GB"/>
              </w:rPr>
              <w:t>Min. refrigeration cycle pressure, kPa</w:t>
            </w:r>
          </w:p>
        </w:tc>
        <w:tc>
          <w:tcPr>
            <w:tcW w:w="1134" w:type="dxa"/>
            <w:shd w:val="clear" w:color="auto" w:fill="FFFFFF"/>
            <w:vAlign w:val="center"/>
          </w:tcPr>
          <w:p w14:paraId="7C07E76E" w14:textId="1E0811CE" w:rsidR="009032FE" w:rsidRPr="00677951" w:rsidRDefault="009032FE" w:rsidP="00851FD1">
            <w:pPr>
              <w:pStyle w:val="CETBodytext"/>
              <w:keepNext/>
              <w:jc w:val="left"/>
              <w:rPr>
                <w:lang w:val="en-GB"/>
              </w:rPr>
            </w:pPr>
            <w:r w:rsidRPr="00677951">
              <w:rPr>
                <w:lang w:val="en-GB"/>
              </w:rPr>
              <w:t>P</w:t>
            </w:r>
            <w:r w:rsidR="00B226B7">
              <w:rPr>
                <w:vertAlign w:val="subscript"/>
                <w:lang w:val="en-GB"/>
              </w:rPr>
              <w:t>14</w:t>
            </w:r>
          </w:p>
        </w:tc>
        <w:tc>
          <w:tcPr>
            <w:tcW w:w="1134" w:type="dxa"/>
            <w:shd w:val="clear" w:color="auto" w:fill="FFFFFF"/>
            <w:vAlign w:val="center"/>
          </w:tcPr>
          <w:p w14:paraId="56465029" w14:textId="57C98E86" w:rsidR="009032FE" w:rsidRPr="00677951" w:rsidRDefault="009032FE" w:rsidP="00851FD1">
            <w:pPr>
              <w:pStyle w:val="CETBodytext"/>
              <w:keepNext/>
              <w:jc w:val="left"/>
              <w:rPr>
                <w:lang w:val="en-GB"/>
              </w:rPr>
            </w:pPr>
            <w:r w:rsidRPr="00677951">
              <w:rPr>
                <w:lang w:val="en-GB"/>
              </w:rPr>
              <w:t>935.20</w:t>
            </w:r>
          </w:p>
        </w:tc>
        <w:tc>
          <w:tcPr>
            <w:tcW w:w="1134" w:type="dxa"/>
            <w:shd w:val="clear" w:color="auto" w:fill="FFFFFF"/>
          </w:tcPr>
          <w:p w14:paraId="627E0FA2" w14:textId="77777777" w:rsidR="009032FE" w:rsidRPr="00B57B36" w:rsidRDefault="009032FE" w:rsidP="00A92115">
            <w:pPr>
              <w:pStyle w:val="CETBodytext"/>
              <w:keepNext/>
              <w:ind w:right="-1"/>
              <w:rPr>
                <w:rFonts w:cs="Arial"/>
                <w:szCs w:val="18"/>
                <w:lang w:val="en-GB"/>
              </w:rPr>
            </w:pPr>
          </w:p>
        </w:tc>
        <w:tc>
          <w:tcPr>
            <w:tcW w:w="1134" w:type="dxa"/>
            <w:shd w:val="clear" w:color="auto" w:fill="FFFFFF"/>
          </w:tcPr>
          <w:p w14:paraId="192A926B" w14:textId="77777777" w:rsidR="009032FE" w:rsidRPr="00B57B36" w:rsidRDefault="009032FE" w:rsidP="00A92115">
            <w:pPr>
              <w:pStyle w:val="CETBodytext"/>
              <w:keepNext/>
              <w:ind w:right="-1"/>
              <w:rPr>
                <w:rFonts w:cs="Arial"/>
                <w:szCs w:val="18"/>
                <w:lang w:val="en-GB"/>
              </w:rPr>
            </w:pPr>
          </w:p>
        </w:tc>
      </w:tr>
      <w:tr w:rsidR="009032FE" w:rsidRPr="00B57B36" w14:paraId="43776E3C" w14:textId="77777777" w:rsidTr="00851FD1">
        <w:tc>
          <w:tcPr>
            <w:tcW w:w="3402" w:type="dxa"/>
            <w:shd w:val="clear" w:color="auto" w:fill="FFFFFF"/>
            <w:vAlign w:val="center"/>
          </w:tcPr>
          <w:p w14:paraId="5AAE27B4" w14:textId="43E42F21" w:rsidR="009032FE" w:rsidRDefault="009032FE" w:rsidP="00A92115">
            <w:pPr>
              <w:pStyle w:val="CETBodytext"/>
              <w:keepNext/>
              <w:ind w:right="-1"/>
              <w:jc w:val="left"/>
              <w:rPr>
                <w:rFonts w:cs="Arial"/>
                <w:szCs w:val="18"/>
                <w:lang w:val="en-GB"/>
              </w:rPr>
            </w:pPr>
            <w:r>
              <w:rPr>
                <w:rFonts w:cs="Arial"/>
                <w:szCs w:val="18"/>
                <w:lang w:val="en-GB"/>
              </w:rPr>
              <w:t>Interm</w:t>
            </w:r>
            <w:r w:rsidR="003E3B5C">
              <w:rPr>
                <w:rFonts w:cs="Arial"/>
                <w:szCs w:val="18"/>
                <w:lang w:val="en-GB"/>
              </w:rPr>
              <w:t>ediate c</w:t>
            </w:r>
            <w:r>
              <w:rPr>
                <w:rFonts w:cs="Arial"/>
                <w:szCs w:val="18"/>
                <w:lang w:val="en-GB"/>
              </w:rPr>
              <w:t>ompression pressure, kPa</w:t>
            </w:r>
          </w:p>
        </w:tc>
        <w:tc>
          <w:tcPr>
            <w:tcW w:w="1134" w:type="dxa"/>
            <w:shd w:val="clear" w:color="auto" w:fill="FFFFFF"/>
            <w:vAlign w:val="center"/>
          </w:tcPr>
          <w:p w14:paraId="6636129C" w14:textId="2E85D7AB" w:rsidR="009032FE" w:rsidRPr="00677951" w:rsidRDefault="009032FE" w:rsidP="00851FD1">
            <w:pPr>
              <w:pStyle w:val="CETBodytext"/>
              <w:keepNext/>
              <w:ind w:right="-1"/>
              <w:jc w:val="left"/>
              <w:rPr>
                <w:rFonts w:cs="Arial"/>
                <w:szCs w:val="18"/>
                <w:lang w:val="en-GB"/>
              </w:rPr>
            </w:pPr>
            <w:r w:rsidRPr="00677951">
              <w:rPr>
                <w:rFonts w:cs="Arial"/>
                <w:szCs w:val="18"/>
                <w:lang w:val="en-GB"/>
              </w:rPr>
              <w:t>P</w:t>
            </w:r>
            <w:r w:rsidR="00B226B7">
              <w:rPr>
                <w:rFonts w:cs="Arial"/>
                <w:szCs w:val="18"/>
                <w:vertAlign w:val="subscript"/>
                <w:lang w:val="en-GB"/>
              </w:rPr>
              <w:t>5</w:t>
            </w:r>
          </w:p>
        </w:tc>
        <w:tc>
          <w:tcPr>
            <w:tcW w:w="1134" w:type="dxa"/>
            <w:shd w:val="clear" w:color="auto" w:fill="FFFFFF"/>
            <w:vAlign w:val="center"/>
          </w:tcPr>
          <w:p w14:paraId="4374CBEE" w14:textId="6F125E7A" w:rsidR="009032FE" w:rsidRPr="00677951" w:rsidRDefault="003A78A7" w:rsidP="00851FD1">
            <w:pPr>
              <w:pStyle w:val="CETBodytext"/>
              <w:keepNext/>
              <w:ind w:right="-1"/>
              <w:jc w:val="left"/>
              <w:rPr>
                <w:rFonts w:cs="Arial"/>
                <w:szCs w:val="18"/>
                <w:lang w:val="en-GB"/>
              </w:rPr>
            </w:pPr>
            <w:r w:rsidRPr="00677951">
              <w:rPr>
                <w:rFonts w:cs="Arial"/>
                <w:szCs w:val="18"/>
                <w:lang w:val="en-GB"/>
              </w:rPr>
              <w:t>3848.50</w:t>
            </w:r>
          </w:p>
        </w:tc>
        <w:tc>
          <w:tcPr>
            <w:tcW w:w="1134" w:type="dxa"/>
            <w:shd w:val="clear" w:color="auto" w:fill="FFFFFF"/>
          </w:tcPr>
          <w:p w14:paraId="72C03A75" w14:textId="77777777" w:rsidR="009032FE" w:rsidRPr="00B57B36" w:rsidRDefault="009032FE" w:rsidP="00A92115">
            <w:pPr>
              <w:pStyle w:val="CETBodytext"/>
              <w:keepNext/>
              <w:ind w:right="-1"/>
              <w:rPr>
                <w:rFonts w:cs="Arial"/>
                <w:szCs w:val="18"/>
                <w:lang w:val="en-GB"/>
              </w:rPr>
            </w:pPr>
          </w:p>
        </w:tc>
        <w:tc>
          <w:tcPr>
            <w:tcW w:w="1134" w:type="dxa"/>
            <w:shd w:val="clear" w:color="auto" w:fill="FFFFFF"/>
          </w:tcPr>
          <w:p w14:paraId="538F81E7" w14:textId="77777777" w:rsidR="009032FE" w:rsidRPr="00B57B36" w:rsidRDefault="009032FE" w:rsidP="00A92115">
            <w:pPr>
              <w:pStyle w:val="CETBodytext"/>
              <w:keepNext/>
              <w:ind w:right="-1"/>
              <w:rPr>
                <w:rFonts w:cs="Arial"/>
                <w:szCs w:val="18"/>
                <w:lang w:val="en-GB"/>
              </w:rPr>
            </w:pPr>
          </w:p>
        </w:tc>
      </w:tr>
      <w:tr w:rsidR="009032FE" w:rsidRPr="00B57B36" w14:paraId="266B0E43" w14:textId="77777777" w:rsidTr="00851FD1">
        <w:tc>
          <w:tcPr>
            <w:tcW w:w="3402" w:type="dxa"/>
            <w:shd w:val="clear" w:color="auto" w:fill="FFFFFF"/>
            <w:vAlign w:val="center"/>
          </w:tcPr>
          <w:p w14:paraId="3C4535BB" w14:textId="77777777" w:rsidR="009032FE" w:rsidRPr="009032FE" w:rsidRDefault="009032FE" w:rsidP="00A92115">
            <w:pPr>
              <w:pStyle w:val="CETBodytext"/>
              <w:keepNext/>
              <w:ind w:right="-1"/>
              <w:jc w:val="left"/>
              <w:rPr>
                <w:rFonts w:cs="Arial"/>
                <w:szCs w:val="18"/>
                <w:lang w:val="en-GB"/>
              </w:rPr>
            </w:pPr>
            <w:r w:rsidRPr="009032FE">
              <w:rPr>
                <w:rFonts w:cs="Arial"/>
                <w:szCs w:val="18"/>
                <w:lang w:val="en-GB"/>
              </w:rPr>
              <w:t>Lower pressure in the high-pressure</w:t>
            </w:r>
          </w:p>
          <w:p w14:paraId="02905C18" w14:textId="462B1215" w:rsidR="009032FE" w:rsidRDefault="009032FE" w:rsidP="00A92115">
            <w:pPr>
              <w:pStyle w:val="CETBodytext"/>
              <w:keepNext/>
              <w:ind w:right="-1"/>
              <w:jc w:val="left"/>
              <w:rPr>
                <w:rFonts w:cs="Arial"/>
                <w:szCs w:val="18"/>
                <w:lang w:val="en-GB"/>
              </w:rPr>
            </w:pPr>
            <w:r w:rsidRPr="009032FE">
              <w:rPr>
                <w:rFonts w:cs="Arial"/>
                <w:szCs w:val="18"/>
                <w:lang w:val="en-GB"/>
              </w:rPr>
              <w:t>stream, kPa</w:t>
            </w:r>
          </w:p>
        </w:tc>
        <w:tc>
          <w:tcPr>
            <w:tcW w:w="1134" w:type="dxa"/>
            <w:shd w:val="clear" w:color="auto" w:fill="FFFFFF"/>
            <w:vAlign w:val="center"/>
          </w:tcPr>
          <w:p w14:paraId="7729A96E" w14:textId="30D26BB1" w:rsidR="009032FE" w:rsidRPr="00677951" w:rsidRDefault="009032FE" w:rsidP="00851FD1">
            <w:pPr>
              <w:pStyle w:val="CETBodytext"/>
              <w:keepNext/>
              <w:ind w:right="-1"/>
              <w:jc w:val="left"/>
              <w:rPr>
                <w:rFonts w:cs="Arial"/>
                <w:szCs w:val="18"/>
                <w:lang w:val="en-GB"/>
              </w:rPr>
            </w:pPr>
            <w:r w:rsidRPr="00677951">
              <w:rPr>
                <w:rFonts w:cs="Arial"/>
                <w:szCs w:val="18"/>
                <w:lang w:val="en-GB"/>
              </w:rPr>
              <w:t>P</w:t>
            </w:r>
            <w:r w:rsidR="00B226B7">
              <w:rPr>
                <w:rFonts w:cs="Arial"/>
                <w:szCs w:val="18"/>
                <w:vertAlign w:val="subscript"/>
                <w:lang w:val="en-GB"/>
              </w:rPr>
              <w:t>13</w:t>
            </w:r>
          </w:p>
        </w:tc>
        <w:tc>
          <w:tcPr>
            <w:tcW w:w="1134" w:type="dxa"/>
            <w:shd w:val="clear" w:color="auto" w:fill="FFFFFF"/>
            <w:vAlign w:val="center"/>
          </w:tcPr>
          <w:p w14:paraId="1455E152" w14:textId="03218749" w:rsidR="009032FE" w:rsidRPr="00677951" w:rsidRDefault="003A78A7" w:rsidP="00851FD1">
            <w:pPr>
              <w:pStyle w:val="CETBodytext"/>
              <w:keepNext/>
              <w:ind w:right="-1"/>
              <w:jc w:val="left"/>
              <w:rPr>
                <w:rFonts w:cs="Arial"/>
                <w:szCs w:val="18"/>
                <w:lang w:val="en-GB"/>
              </w:rPr>
            </w:pPr>
            <w:r w:rsidRPr="00677951">
              <w:rPr>
                <w:rFonts w:cs="Arial"/>
                <w:szCs w:val="18"/>
                <w:lang w:val="en-GB"/>
              </w:rPr>
              <w:t>1950.40</w:t>
            </w:r>
          </w:p>
        </w:tc>
        <w:tc>
          <w:tcPr>
            <w:tcW w:w="1134" w:type="dxa"/>
            <w:shd w:val="clear" w:color="auto" w:fill="FFFFFF"/>
          </w:tcPr>
          <w:p w14:paraId="3DB1B0AD" w14:textId="77777777" w:rsidR="009032FE" w:rsidRPr="00B57B36" w:rsidRDefault="009032FE" w:rsidP="00A92115">
            <w:pPr>
              <w:pStyle w:val="CETBodytext"/>
              <w:keepNext/>
              <w:ind w:right="-1"/>
              <w:rPr>
                <w:rFonts w:cs="Arial"/>
                <w:szCs w:val="18"/>
                <w:lang w:val="en-GB"/>
              </w:rPr>
            </w:pPr>
          </w:p>
        </w:tc>
        <w:tc>
          <w:tcPr>
            <w:tcW w:w="1134" w:type="dxa"/>
            <w:shd w:val="clear" w:color="auto" w:fill="FFFFFF"/>
          </w:tcPr>
          <w:p w14:paraId="64D3A4ED" w14:textId="77777777" w:rsidR="009032FE" w:rsidRPr="00B57B36" w:rsidRDefault="009032FE" w:rsidP="00A92115">
            <w:pPr>
              <w:pStyle w:val="CETBodytext"/>
              <w:keepNext/>
              <w:ind w:right="-1"/>
              <w:rPr>
                <w:rFonts w:cs="Arial"/>
                <w:szCs w:val="18"/>
                <w:lang w:val="en-GB"/>
              </w:rPr>
            </w:pPr>
          </w:p>
        </w:tc>
      </w:tr>
      <w:tr w:rsidR="009032FE" w:rsidRPr="00B57B36" w14:paraId="293ABFC3" w14:textId="77777777" w:rsidTr="00851FD1">
        <w:tc>
          <w:tcPr>
            <w:tcW w:w="3402" w:type="dxa"/>
            <w:shd w:val="clear" w:color="auto" w:fill="FFFFFF"/>
            <w:vAlign w:val="center"/>
          </w:tcPr>
          <w:p w14:paraId="70BE1D29" w14:textId="7F20213A" w:rsidR="009032FE" w:rsidRDefault="009032FE" w:rsidP="00A92115">
            <w:pPr>
              <w:pStyle w:val="CETBodytext"/>
              <w:keepNext/>
              <w:ind w:right="-1"/>
              <w:jc w:val="left"/>
              <w:rPr>
                <w:rFonts w:cs="Arial"/>
                <w:szCs w:val="18"/>
                <w:lang w:val="en-GB"/>
              </w:rPr>
            </w:pPr>
            <w:r w:rsidRPr="009032FE">
              <w:rPr>
                <w:rFonts w:cs="Arial"/>
                <w:szCs w:val="18"/>
                <w:lang w:val="en-GB"/>
              </w:rPr>
              <w:t xml:space="preserve">Temperature outlet after precooling, </w:t>
            </w:r>
            <w:r>
              <w:rPr>
                <w:rFonts w:cs="Arial"/>
                <w:szCs w:val="18"/>
                <w:lang w:val="en-GB"/>
              </w:rPr>
              <w:t>°C</w:t>
            </w:r>
          </w:p>
        </w:tc>
        <w:tc>
          <w:tcPr>
            <w:tcW w:w="1134" w:type="dxa"/>
            <w:shd w:val="clear" w:color="auto" w:fill="FFFFFF"/>
            <w:vAlign w:val="center"/>
          </w:tcPr>
          <w:p w14:paraId="48719299" w14:textId="3F92D971" w:rsidR="009032FE" w:rsidRDefault="003A78A7" w:rsidP="00851FD1">
            <w:pPr>
              <w:pStyle w:val="CETBodytext"/>
              <w:keepNext/>
              <w:ind w:right="-1"/>
              <w:jc w:val="left"/>
              <w:rPr>
                <w:rFonts w:cs="Arial"/>
                <w:szCs w:val="18"/>
                <w:lang w:val="en-GB"/>
              </w:rPr>
            </w:pPr>
            <w:r>
              <w:rPr>
                <w:rFonts w:cs="Arial"/>
                <w:szCs w:val="18"/>
                <w:lang w:val="en-GB"/>
              </w:rPr>
              <w:t>T</w:t>
            </w:r>
            <w:r w:rsidR="00B226B7">
              <w:rPr>
                <w:rFonts w:cs="Arial"/>
                <w:szCs w:val="18"/>
                <w:vertAlign w:val="subscript"/>
                <w:lang w:val="en-GB"/>
              </w:rPr>
              <w:t>11</w:t>
            </w:r>
          </w:p>
        </w:tc>
        <w:tc>
          <w:tcPr>
            <w:tcW w:w="1134" w:type="dxa"/>
            <w:shd w:val="clear" w:color="auto" w:fill="FFFFFF"/>
            <w:vAlign w:val="center"/>
          </w:tcPr>
          <w:p w14:paraId="4811D637" w14:textId="07C99E3B" w:rsidR="009032FE" w:rsidRDefault="003A78A7" w:rsidP="00851FD1">
            <w:pPr>
              <w:pStyle w:val="CETBodytext"/>
              <w:keepNext/>
              <w:ind w:right="-1"/>
              <w:jc w:val="left"/>
              <w:rPr>
                <w:rFonts w:cs="Arial"/>
                <w:szCs w:val="18"/>
                <w:lang w:val="en-GB"/>
              </w:rPr>
            </w:pPr>
            <w:r>
              <w:rPr>
                <w:rFonts w:cs="Arial"/>
                <w:szCs w:val="18"/>
                <w:lang w:val="en-GB"/>
              </w:rPr>
              <w:t>-64.73</w:t>
            </w:r>
          </w:p>
        </w:tc>
        <w:tc>
          <w:tcPr>
            <w:tcW w:w="1134" w:type="dxa"/>
            <w:shd w:val="clear" w:color="auto" w:fill="FFFFFF"/>
          </w:tcPr>
          <w:p w14:paraId="6F53E5A0" w14:textId="77777777" w:rsidR="009032FE" w:rsidRPr="00B57B36" w:rsidRDefault="009032FE" w:rsidP="00A92115">
            <w:pPr>
              <w:pStyle w:val="CETBodytext"/>
              <w:keepNext/>
              <w:ind w:right="-1"/>
              <w:rPr>
                <w:rFonts w:cs="Arial"/>
                <w:szCs w:val="18"/>
                <w:lang w:val="en-GB"/>
              </w:rPr>
            </w:pPr>
          </w:p>
        </w:tc>
        <w:tc>
          <w:tcPr>
            <w:tcW w:w="1134" w:type="dxa"/>
            <w:shd w:val="clear" w:color="auto" w:fill="FFFFFF"/>
          </w:tcPr>
          <w:p w14:paraId="009D2FAD" w14:textId="77777777" w:rsidR="009032FE" w:rsidRPr="00B57B36" w:rsidRDefault="009032FE" w:rsidP="00A92115">
            <w:pPr>
              <w:pStyle w:val="CETBodytext"/>
              <w:keepNext/>
              <w:ind w:right="-1"/>
              <w:rPr>
                <w:rFonts w:cs="Arial"/>
                <w:szCs w:val="18"/>
                <w:lang w:val="en-GB"/>
              </w:rPr>
            </w:pPr>
          </w:p>
        </w:tc>
      </w:tr>
      <w:tr w:rsidR="009032FE" w:rsidRPr="00B57B36" w14:paraId="1979B404" w14:textId="77777777" w:rsidTr="00851FD1">
        <w:tc>
          <w:tcPr>
            <w:tcW w:w="3402" w:type="dxa"/>
            <w:shd w:val="clear" w:color="auto" w:fill="FFFFFF"/>
            <w:vAlign w:val="center"/>
          </w:tcPr>
          <w:p w14:paraId="4DDB735B" w14:textId="344D39F5" w:rsidR="009032FE" w:rsidRDefault="009032FE" w:rsidP="00A92115">
            <w:pPr>
              <w:pStyle w:val="CETBodytext"/>
              <w:keepNext/>
              <w:ind w:right="-1"/>
              <w:jc w:val="left"/>
              <w:rPr>
                <w:rFonts w:cs="Arial"/>
                <w:szCs w:val="18"/>
                <w:lang w:val="en-GB"/>
              </w:rPr>
            </w:pPr>
            <w:r w:rsidRPr="009032FE">
              <w:rPr>
                <w:rFonts w:cs="Arial"/>
                <w:szCs w:val="18"/>
                <w:lang w:val="en-GB"/>
              </w:rPr>
              <w:t xml:space="preserve">Temperature outlet after precooling, </w:t>
            </w:r>
            <w:r>
              <w:rPr>
                <w:rFonts w:cs="Arial"/>
                <w:szCs w:val="18"/>
                <w:lang w:val="en-GB"/>
              </w:rPr>
              <w:t>°C</w:t>
            </w:r>
          </w:p>
        </w:tc>
        <w:tc>
          <w:tcPr>
            <w:tcW w:w="1134" w:type="dxa"/>
            <w:shd w:val="clear" w:color="auto" w:fill="FFFFFF"/>
            <w:vAlign w:val="center"/>
          </w:tcPr>
          <w:p w14:paraId="76E55564" w14:textId="6F50CE7B" w:rsidR="009032FE" w:rsidRDefault="003A78A7" w:rsidP="00851FD1">
            <w:pPr>
              <w:pStyle w:val="CETBodytext"/>
              <w:keepNext/>
              <w:ind w:right="-1"/>
              <w:jc w:val="left"/>
              <w:rPr>
                <w:rFonts w:cs="Arial"/>
                <w:szCs w:val="18"/>
                <w:lang w:val="en-GB"/>
              </w:rPr>
            </w:pPr>
            <w:r>
              <w:rPr>
                <w:rFonts w:cs="Arial"/>
                <w:szCs w:val="18"/>
                <w:lang w:val="en-GB"/>
              </w:rPr>
              <w:t>T</w:t>
            </w:r>
            <w:r w:rsidR="00B226B7" w:rsidRPr="00B226B7">
              <w:rPr>
                <w:rFonts w:cs="Arial"/>
                <w:szCs w:val="18"/>
                <w:vertAlign w:val="subscript"/>
                <w:lang w:val="en-GB"/>
              </w:rPr>
              <w:t>12</w:t>
            </w:r>
          </w:p>
        </w:tc>
        <w:tc>
          <w:tcPr>
            <w:tcW w:w="1134" w:type="dxa"/>
            <w:shd w:val="clear" w:color="auto" w:fill="FFFFFF"/>
            <w:vAlign w:val="center"/>
          </w:tcPr>
          <w:p w14:paraId="5709D211" w14:textId="49C853DE" w:rsidR="009032FE" w:rsidRDefault="003A78A7" w:rsidP="00851FD1">
            <w:pPr>
              <w:pStyle w:val="CETBodytext"/>
              <w:keepNext/>
              <w:ind w:right="-1"/>
              <w:jc w:val="left"/>
              <w:rPr>
                <w:rFonts w:cs="Arial"/>
                <w:szCs w:val="18"/>
                <w:lang w:val="en-GB"/>
              </w:rPr>
            </w:pPr>
            <w:r>
              <w:rPr>
                <w:rFonts w:cs="Arial"/>
                <w:szCs w:val="18"/>
                <w:lang w:val="en-GB"/>
              </w:rPr>
              <w:t>-90.80</w:t>
            </w:r>
          </w:p>
        </w:tc>
        <w:tc>
          <w:tcPr>
            <w:tcW w:w="1134" w:type="dxa"/>
            <w:shd w:val="clear" w:color="auto" w:fill="FFFFFF"/>
          </w:tcPr>
          <w:p w14:paraId="2ECCB004" w14:textId="77777777" w:rsidR="009032FE" w:rsidRPr="00B57B36" w:rsidRDefault="009032FE" w:rsidP="00A92115">
            <w:pPr>
              <w:pStyle w:val="CETBodytext"/>
              <w:keepNext/>
              <w:ind w:right="-1"/>
              <w:rPr>
                <w:rFonts w:cs="Arial"/>
                <w:szCs w:val="18"/>
                <w:lang w:val="en-GB"/>
              </w:rPr>
            </w:pPr>
          </w:p>
        </w:tc>
        <w:tc>
          <w:tcPr>
            <w:tcW w:w="1134" w:type="dxa"/>
            <w:shd w:val="clear" w:color="auto" w:fill="FFFFFF"/>
          </w:tcPr>
          <w:p w14:paraId="7D895B1F" w14:textId="77777777" w:rsidR="009032FE" w:rsidRPr="00B57B36" w:rsidRDefault="009032FE" w:rsidP="00A92115">
            <w:pPr>
              <w:pStyle w:val="CETBodytext"/>
              <w:keepNext/>
              <w:ind w:right="-1"/>
              <w:rPr>
                <w:rFonts w:cs="Arial"/>
                <w:szCs w:val="18"/>
                <w:lang w:val="en-GB"/>
              </w:rPr>
            </w:pPr>
          </w:p>
        </w:tc>
      </w:tr>
      <w:tr w:rsidR="003A78A7" w:rsidRPr="00B57B36" w14:paraId="18FA2BF2" w14:textId="77777777" w:rsidTr="00851FD1">
        <w:tc>
          <w:tcPr>
            <w:tcW w:w="3402" w:type="dxa"/>
            <w:shd w:val="clear" w:color="auto" w:fill="FFFFFF"/>
            <w:vAlign w:val="center"/>
          </w:tcPr>
          <w:p w14:paraId="5539DFBF" w14:textId="77777777" w:rsidR="003A78A7" w:rsidRPr="003A78A7" w:rsidRDefault="003A78A7" w:rsidP="00A92115">
            <w:pPr>
              <w:pStyle w:val="CETBodytext"/>
              <w:keepNext/>
              <w:ind w:right="-1"/>
              <w:jc w:val="left"/>
              <w:rPr>
                <w:rFonts w:cs="Arial"/>
                <w:szCs w:val="18"/>
                <w:lang w:val="en-GB"/>
              </w:rPr>
            </w:pPr>
            <w:r w:rsidRPr="003A78A7">
              <w:rPr>
                <w:rFonts w:cs="Arial"/>
                <w:szCs w:val="18"/>
                <w:lang w:val="en-GB"/>
              </w:rPr>
              <w:t>Temperature outlet of the low-pressure</w:t>
            </w:r>
          </w:p>
          <w:p w14:paraId="2AE457BF" w14:textId="07976BD6" w:rsidR="003A78A7" w:rsidRPr="009032FE" w:rsidRDefault="003A78A7" w:rsidP="00A92115">
            <w:pPr>
              <w:pStyle w:val="CETBodytext"/>
              <w:keepNext/>
              <w:ind w:right="-1"/>
              <w:jc w:val="left"/>
              <w:rPr>
                <w:rFonts w:cs="Arial"/>
                <w:szCs w:val="18"/>
                <w:lang w:val="en-GB"/>
              </w:rPr>
            </w:pPr>
            <w:r w:rsidRPr="003A78A7">
              <w:rPr>
                <w:rFonts w:cs="Arial"/>
                <w:szCs w:val="18"/>
                <w:lang w:val="en-GB"/>
              </w:rPr>
              <w:t>stream after heat exchang</w:t>
            </w:r>
            <w:r w:rsidR="008B0A93">
              <w:rPr>
                <w:rFonts w:cs="Arial"/>
                <w:szCs w:val="18"/>
                <w:lang w:val="en-GB"/>
              </w:rPr>
              <w:t>e</w:t>
            </w:r>
            <w:r w:rsidRPr="003A78A7">
              <w:rPr>
                <w:rFonts w:cs="Arial"/>
                <w:szCs w:val="18"/>
                <w:lang w:val="en-GB"/>
              </w:rPr>
              <w:t xml:space="preserve">, </w:t>
            </w:r>
            <w:r>
              <w:rPr>
                <w:rFonts w:cs="Arial"/>
                <w:szCs w:val="18"/>
                <w:lang w:val="en-GB"/>
              </w:rPr>
              <w:t>°C</w:t>
            </w:r>
          </w:p>
        </w:tc>
        <w:tc>
          <w:tcPr>
            <w:tcW w:w="1134" w:type="dxa"/>
            <w:shd w:val="clear" w:color="auto" w:fill="FFFFFF"/>
            <w:vAlign w:val="center"/>
          </w:tcPr>
          <w:p w14:paraId="15070E16" w14:textId="24C85831" w:rsidR="003A78A7" w:rsidRDefault="003A78A7" w:rsidP="00851FD1">
            <w:pPr>
              <w:pStyle w:val="CETBodytext"/>
              <w:keepNext/>
              <w:ind w:right="-1"/>
              <w:jc w:val="left"/>
              <w:rPr>
                <w:rFonts w:cs="Arial"/>
                <w:szCs w:val="18"/>
                <w:lang w:val="en-GB"/>
              </w:rPr>
            </w:pPr>
            <w:r>
              <w:rPr>
                <w:rFonts w:cs="Arial"/>
                <w:szCs w:val="18"/>
                <w:lang w:val="en-GB"/>
              </w:rPr>
              <w:t>T</w:t>
            </w:r>
            <w:r w:rsidR="00B226B7">
              <w:rPr>
                <w:rFonts w:cs="Arial"/>
                <w:szCs w:val="18"/>
                <w:vertAlign w:val="subscript"/>
                <w:lang w:val="en-GB"/>
              </w:rPr>
              <w:t>16</w:t>
            </w:r>
          </w:p>
        </w:tc>
        <w:tc>
          <w:tcPr>
            <w:tcW w:w="1134" w:type="dxa"/>
            <w:shd w:val="clear" w:color="auto" w:fill="FFFFFF"/>
            <w:vAlign w:val="center"/>
          </w:tcPr>
          <w:p w14:paraId="4AB41159" w14:textId="39F20CD1" w:rsidR="003A78A7" w:rsidRDefault="003A78A7" w:rsidP="00851FD1">
            <w:pPr>
              <w:pStyle w:val="CETBodytext"/>
              <w:keepNext/>
              <w:ind w:right="-1"/>
              <w:jc w:val="left"/>
              <w:rPr>
                <w:rFonts w:cs="Arial"/>
                <w:szCs w:val="18"/>
                <w:lang w:val="en-GB"/>
              </w:rPr>
            </w:pPr>
            <w:r>
              <w:rPr>
                <w:rFonts w:cs="Arial"/>
                <w:szCs w:val="18"/>
                <w:lang w:val="en-GB"/>
              </w:rPr>
              <w:t>26.48</w:t>
            </w:r>
          </w:p>
        </w:tc>
        <w:tc>
          <w:tcPr>
            <w:tcW w:w="1134" w:type="dxa"/>
            <w:shd w:val="clear" w:color="auto" w:fill="FFFFFF"/>
            <w:vAlign w:val="center"/>
          </w:tcPr>
          <w:p w14:paraId="790A5560" w14:textId="77777777" w:rsidR="003A78A7" w:rsidRPr="00B57B36" w:rsidRDefault="003A78A7" w:rsidP="00851FD1">
            <w:pPr>
              <w:pStyle w:val="CETBodytext"/>
              <w:keepNext/>
              <w:ind w:right="-1"/>
              <w:jc w:val="left"/>
              <w:rPr>
                <w:rFonts w:cs="Arial"/>
                <w:szCs w:val="18"/>
                <w:lang w:val="en-GB"/>
              </w:rPr>
            </w:pPr>
          </w:p>
        </w:tc>
        <w:tc>
          <w:tcPr>
            <w:tcW w:w="1134" w:type="dxa"/>
            <w:shd w:val="clear" w:color="auto" w:fill="FFFFFF"/>
          </w:tcPr>
          <w:p w14:paraId="1C7A401C" w14:textId="77777777" w:rsidR="003A78A7" w:rsidRPr="00B57B36" w:rsidRDefault="003A78A7" w:rsidP="00A92115">
            <w:pPr>
              <w:pStyle w:val="CETBodytext"/>
              <w:keepNext/>
              <w:ind w:right="-1"/>
              <w:rPr>
                <w:rFonts w:cs="Arial"/>
                <w:szCs w:val="18"/>
                <w:lang w:val="en-GB"/>
              </w:rPr>
            </w:pPr>
          </w:p>
        </w:tc>
      </w:tr>
      <w:tr w:rsidR="009032FE" w:rsidRPr="00B57B36" w14:paraId="260C996F" w14:textId="77777777" w:rsidTr="00851FD1">
        <w:tc>
          <w:tcPr>
            <w:tcW w:w="3402" w:type="dxa"/>
            <w:shd w:val="clear" w:color="auto" w:fill="FFFFFF"/>
            <w:vAlign w:val="center"/>
          </w:tcPr>
          <w:p w14:paraId="5BA1D90A" w14:textId="24473C40" w:rsidR="009032FE" w:rsidRPr="009032FE" w:rsidRDefault="009032FE" w:rsidP="00A92115">
            <w:pPr>
              <w:pStyle w:val="CETBodytext"/>
              <w:keepNext/>
              <w:ind w:right="-1"/>
              <w:jc w:val="left"/>
              <w:rPr>
                <w:rFonts w:cs="Arial"/>
                <w:szCs w:val="18"/>
                <w:lang w:val="en-GB"/>
              </w:rPr>
            </w:pPr>
            <w:r>
              <w:rPr>
                <w:rFonts w:cs="Arial"/>
                <w:szCs w:val="18"/>
                <w:lang w:val="en-GB"/>
              </w:rPr>
              <w:t>Split factor</w:t>
            </w:r>
          </w:p>
        </w:tc>
        <w:tc>
          <w:tcPr>
            <w:tcW w:w="1134" w:type="dxa"/>
            <w:shd w:val="clear" w:color="auto" w:fill="FFFFFF"/>
            <w:vAlign w:val="center"/>
          </w:tcPr>
          <w:p w14:paraId="6B102F4B" w14:textId="1CA407AA" w:rsidR="009032FE" w:rsidRDefault="003A78A7" w:rsidP="00851FD1">
            <w:pPr>
              <w:pStyle w:val="CETBodytext"/>
              <w:keepNext/>
              <w:ind w:right="-1"/>
              <w:jc w:val="left"/>
              <w:rPr>
                <w:rFonts w:cs="Arial"/>
                <w:szCs w:val="18"/>
                <w:lang w:val="en-GB"/>
              </w:rPr>
            </w:pPr>
            <w:r>
              <w:rPr>
                <w:rFonts w:cs="Arial"/>
                <w:szCs w:val="18"/>
                <w:lang w:val="en-GB"/>
              </w:rPr>
              <w:t>TEE-100</w:t>
            </w:r>
          </w:p>
        </w:tc>
        <w:tc>
          <w:tcPr>
            <w:tcW w:w="1134" w:type="dxa"/>
            <w:shd w:val="clear" w:color="auto" w:fill="FFFFFF"/>
            <w:vAlign w:val="center"/>
          </w:tcPr>
          <w:p w14:paraId="66F34834" w14:textId="5E994BD9" w:rsidR="009032FE" w:rsidRDefault="003A78A7" w:rsidP="00851FD1">
            <w:pPr>
              <w:pStyle w:val="CETBodytext"/>
              <w:keepNext/>
              <w:ind w:right="-1"/>
              <w:jc w:val="left"/>
              <w:rPr>
                <w:rFonts w:cs="Arial"/>
                <w:szCs w:val="18"/>
                <w:lang w:val="en-GB"/>
              </w:rPr>
            </w:pPr>
            <w:r>
              <w:rPr>
                <w:rFonts w:cs="Arial"/>
                <w:szCs w:val="18"/>
                <w:lang w:val="en-GB"/>
              </w:rPr>
              <w:t>0.3</w:t>
            </w:r>
          </w:p>
        </w:tc>
        <w:tc>
          <w:tcPr>
            <w:tcW w:w="1134" w:type="dxa"/>
            <w:shd w:val="clear" w:color="auto" w:fill="FFFFFF"/>
          </w:tcPr>
          <w:p w14:paraId="1E25EBC1" w14:textId="77777777" w:rsidR="009032FE" w:rsidRPr="00B57B36" w:rsidRDefault="009032FE" w:rsidP="00A92115">
            <w:pPr>
              <w:pStyle w:val="CETBodytext"/>
              <w:keepNext/>
              <w:ind w:right="-1"/>
              <w:rPr>
                <w:rFonts w:cs="Arial"/>
                <w:szCs w:val="18"/>
                <w:lang w:val="en-GB"/>
              </w:rPr>
            </w:pPr>
          </w:p>
        </w:tc>
        <w:tc>
          <w:tcPr>
            <w:tcW w:w="1134" w:type="dxa"/>
            <w:shd w:val="clear" w:color="auto" w:fill="FFFFFF"/>
          </w:tcPr>
          <w:p w14:paraId="2FD1FE11" w14:textId="77777777" w:rsidR="009032FE" w:rsidRPr="00B57B36" w:rsidRDefault="009032FE" w:rsidP="00A92115">
            <w:pPr>
              <w:pStyle w:val="CETBodytext"/>
              <w:keepNext/>
              <w:ind w:right="-1"/>
              <w:rPr>
                <w:rFonts w:cs="Arial"/>
                <w:szCs w:val="18"/>
                <w:lang w:val="en-GB"/>
              </w:rPr>
            </w:pPr>
          </w:p>
        </w:tc>
      </w:tr>
      <w:tr w:rsidR="00006B7C" w:rsidRPr="00B57B36" w14:paraId="4FB123B5" w14:textId="77777777" w:rsidTr="00851FD1">
        <w:tc>
          <w:tcPr>
            <w:tcW w:w="3402" w:type="dxa"/>
            <w:shd w:val="clear" w:color="auto" w:fill="FFFFFF"/>
            <w:vAlign w:val="center"/>
          </w:tcPr>
          <w:p w14:paraId="57CCBC2D" w14:textId="77777777" w:rsidR="00006B7C" w:rsidRPr="00B57B36" w:rsidRDefault="00006B7C" w:rsidP="00C51C0B">
            <w:pPr>
              <w:pStyle w:val="CETBodytext"/>
              <w:ind w:right="-1"/>
              <w:jc w:val="left"/>
              <w:rPr>
                <w:rFonts w:cs="Arial"/>
                <w:szCs w:val="18"/>
                <w:lang w:val="en-GB"/>
              </w:rPr>
            </w:pPr>
            <w:r>
              <w:rPr>
                <w:rFonts w:cs="Arial"/>
                <w:szCs w:val="18"/>
                <w:lang w:val="en-GB"/>
              </w:rPr>
              <w:t xml:space="preserve">Refrigerant molar flow rate, </w:t>
            </w:r>
            <w:proofErr w:type="spellStart"/>
            <w:r>
              <w:rPr>
                <w:rFonts w:cs="Arial"/>
                <w:szCs w:val="18"/>
                <w:lang w:val="en-GB"/>
              </w:rPr>
              <w:t>kmol</w:t>
            </w:r>
            <w:proofErr w:type="spellEnd"/>
            <w:r>
              <w:rPr>
                <w:rFonts w:cs="Arial"/>
                <w:szCs w:val="18"/>
                <w:lang w:val="en-GB"/>
              </w:rPr>
              <w:t>/h</w:t>
            </w:r>
          </w:p>
        </w:tc>
        <w:tc>
          <w:tcPr>
            <w:tcW w:w="1134" w:type="dxa"/>
            <w:shd w:val="clear" w:color="auto" w:fill="FFFFFF"/>
            <w:vAlign w:val="center"/>
          </w:tcPr>
          <w:p w14:paraId="645BF605" w14:textId="3D0A46FE" w:rsidR="00006B7C" w:rsidRPr="00006B7C" w:rsidRDefault="00C63523" w:rsidP="00851FD1">
            <w:pPr>
              <w:pStyle w:val="CETBodytext"/>
              <w:ind w:right="-1"/>
              <w:jc w:val="left"/>
              <w:rPr>
                <w:rFonts w:cs="Arial"/>
                <w:szCs w:val="18"/>
                <w:lang w:val="en-GB"/>
              </w:rPr>
            </w:pPr>
            <m:oMathPara>
              <m:oMathParaPr>
                <m:jc m:val="left"/>
              </m:oMathParaPr>
              <m:oMath>
                <m:sSub>
                  <m:sSubPr>
                    <m:ctrlPr>
                      <w:rPr>
                        <w:rFonts w:ascii="Cambria Math" w:hAnsi="Cambria Math" w:cs="Arial"/>
                        <w:i/>
                        <w:szCs w:val="18"/>
                        <w:lang w:val="en-GB"/>
                      </w:rPr>
                    </m:ctrlPr>
                  </m:sSubPr>
                  <m:e>
                    <m:acc>
                      <m:accPr>
                        <m:chr m:val="̇"/>
                        <m:ctrlPr>
                          <w:rPr>
                            <w:rFonts w:ascii="Cambria Math" w:hAnsi="Cambria Math" w:cs="Arial"/>
                            <w:i/>
                            <w:szCs w:val="18"/>
                            <w:lang w:val="en-GB"/>
                          </w:rPr>
                        </m:ctrlPr>
                      </m:accPr>
                      <m:e>
                        <m:r>
                          <w:rPr>
                            <w:rFonts w:ascii="Cambria Math" w:hAnsi="Cambria Math" w:cs="Arial"/>
                            <w:szCs w:val="18"/>
                            <w:lang w:val="en-GB"/>
                          </w:rPr>
                          <m:t>n</m:t>
                        </m:r>
                      </m:e>
                    </m:acc>
                  </m:e>
                  <m:sub>
                    <m:sSub>
                      <m:sSubPr>
                        <m:ctrlPr>
                          <w:rPr>
                            <w:rFonts w:ascii="Cambria Math" w:hAnsi="Cambria Math" w:cs="Arial"/>
                            <w:i/>
                            <w:szCs w:val="18"/>
                            <w:lang w:val="en-GB"/>
                          </w:rPr>
                        </m:ctrlPr>
                      </m:sSubPr>
                      <m:e>
                        <m:r>
                          <w:rPr>
                            <w:rFonts w:ascii="Cambria Math" w:hAnsi="Cambria Math" w:cs="Arial"/>
                            <w:szCs w:val="18"/>
                            <w:lang w:val="en-GB"/>
                          </w:rPr>
                          <m:t>N</m:t>
                        </m:r>
                      </m:e>
                      <m:sub>
                        <m:r>
                          <w:rPr>
                            <w:rFonts w:ascii="Cambria Math" w:hAnsi="Cambria Math" w:cs="Arial"/>
                            <w:szCs w:val="18"/>
                            <w:lang w:val="en-GB"/>
                          </w:rPr>
                          <m:t>2</m:t>
                        </m:r>
                      </m:sub>
                    </m:sSub>
                  </m:sub>
                </m:sSub>
              </m:oMath>
            </m:oMathPara>
          </w:p>
        </w:tc>
        <w:tc>
          <w:tcPr>
            <w:tcW w:w="1134" w:type="dxa"/>
            <w:shd w:val="clear" w:color="auto" w:fill="FFFFFF"/>
            <w:vAlign w:val="center"/>
          </w:tcPr>
          <w:p w14:paraId="36F9F855" w14:textId="190C5A05" w:rsidR="00006B7C" w:rsidRPr="00B57B36" w:rsidRDefault="00006B7C" w:rsidP="00851FD1">
            <w:pPr>
              <w:pStyle w:val="CETBodytext"/>
              <w:ind w:right="-1"/>
              <w:jc w:val="left"/>
              <w:rPr>
                <w:rFonts w:cs="Arial"/>
                <w:szCs w:val="18"/>
                <w:lang w:val="en-GB"/>
              </w:rPr>
            </w:pPr>
            <w:r>
              <w:rPr>
                <w:rFonts w:cs="Arial"/>
                <w:szCs w:val="18"/>
                <w:lang w:val="en-GB"/>
              </w:rPr>
              <w:t>72.73</w:t>
            </w:r>
          </w:p>
        </w:tc>
        <w:tc>
          <w:tcPr>
            <w:tcW w:w="1134" w:type="dxa"/>
            <w:shd w:val="clear" w:color="auto" w:fill="FFFFFF"/>
          </w:tcPr>
          <w:p w14:paraId="2EB8988A" w14:textId="77777777" w:rsidR="00006B7C" w:rsidRPr="00B57B36" w:rsidRDefault="00006B7C" w:rsidP="00006B7C">
            <w:pPr>
              <w:pStyle w:val="CETBodytext"/>
              <w:ind w:right="-1"/>
              <w:rPr>
                <w:rFonts w:cs="Arial"/>
                <w:szCs w:val="18"/>
                <w:lang w:val="en-GB"/>
              </w:rPr>
            </w:pPr>
          </w:p>
        </w:tc>
        <w:tc>
          <w:tcPr>
            <w:tcW w:w="1134" w:type="dxa"/>
            <w:shd w:val="clear" w:color="auto" w:fill="FFFFFF"/>
          </w:tcPr>
          <w:p w14:paraId="7AC0C0CB" w14:textId="77777777" w:rsidR="00006B7C" w:rsidRPr="00B57B36" w:rsidRDefault="00006B7C" w:rsidP="00006B7C">
            <w:pPr>
              <w:pStyle w:val="CETBodytext"/>
              <w:ind w:right="-1"/>
              <w:rPr>
                <w:rFonts w:cs="Arial"/>
                <w:szCs w:val="18"/>
                <w:lang w:val="en-GB"/>
              </w:rPr>
            </w:pPr>
          </w:p>
        </w:tc>
      </w:tr>
    </w:tbl>
    <w:p w14:paraId="3CA82D46" w14:textId="77777777" w:rsidR="009032FE" w:rsidRDefault="009032FE" w:rsidP="009032FE">
      <w:pPr>
        <w:pStyle w:val="CETBodytext"/>
        <w:rPr>
          <w:lang w:val="en-GB"/>
        </w:rPr>
      </w:pPr>
    </w:p>
    <w:p w14:paraId="0EDBB500" w14:textId="71138C57" w:rsidR="003A78A7" w:rsidRPr="00B57B36" w:rsidRDefault="009032FE" w:rsidP="003A78A7">
      <w:pPr>
        <w:pStyle w:val="CETheadingx"/>
      </w:pPr>
      <w:r>
        <w:rPr>
          <w:lang w:val="en-GB"/>
        </w:rPr>
        <w:t>.</w:t>
      </w:r>
      <w:r w:rsidR="003A78A7" w:rsidRPr="003A78A7">
        <w:t xml:space="preserve"> </w:t>
      </w:r>
      <w:r w:rsidR="003A78A7">
        <w:t>Claude cycle</w:t>
      </w:r>
    </w:p>
    <w:p w14:paraId="14F95799" w14:textId="61C9D662" w:rsidR="00DB2848" w:rsidRDefault="003A78A7" w:rsidP="00DB2848">
      <w:pPr>
        <w:pStyle w:val="CETBodytext"/>
        <w:rPr>
          <w:lang w:val="en-GB"/>
        </w:rPr>
      </w:pPr>
      <w:r w:rsidRPr="003A78A7">
        <w:rPr>
          <w:lang w:val="en-GB"/>
        </w:rPr>
        <w:t>The Claude cycle is a refrigeration system where cooling duty is given by the</w:t>
      </w:r>
      <w:r>
        <w:rPr>
          <w:lang w:val="en-GB"/>
        </w:rPr>
        <w:t xml:space="preserve"> </w:t>
      </w:r>
      <w:r w:rsidRPr="003A78A7">
        <w:rPr>
          <w:lang w:val="en-GB"/>
        </w:rPr>
        <w:t>expansion of biomethane itself. The idea of analysing this cycle comes from the fact</w:t>
      </w:r>
      <w:r>
        <w:rPr>
          <w:lang w:val="en-GB"/>
        </w:rPr>
        <w:t xml:space="preserve"> </w:t>
      </w:r>
      <w:r w:rsidRPr="003A78A7">
        <w:rPr>
          <w:lang w:val="en-GB"/>
        </w:rPr>
        <w:t xml:space="preserve">that the thermodynamic conditions of the biomethane generated </w:t>
      </w:r>
      <w:r w:rsidR="008B0A93">
        <w:rPr>
          <w:lang w:val="en-GB"/>
        </w:rPr>
        <w:t>in the upgrading step</w:t>
      </w:r>
      <w:r w:rsidRPr="003A78A7">
        <w:rPr>
          <w:lang w:val="en-GB"/>
        </w:rPr>
        <w:t xml:space="preserve"> are theoretically favourable for its expansion since the gas is already at high</w:t>
      </w:r>
      <w:r>
        <w:rPr>
          <w:lang w:val="en-GB"/>
        </w:rPr>
        <w:t xml:space="preserve"> </w:t>
      </w:r>
      <w:r w:rsidRPr="003A78A7">
        <w:rPr>
          <w:lang w:val="en-GB"/>
        </w:rPr>
        <w:t>pressure (i.e., 40 bar). The Claude scheme used for liquefaction has been adapted from</w:t>
      </w:r>
      <w:r>
        <w:rPr>
          <w:lang w:val="en-GB"/>
        </w:rPr>
        <w:t xml:space="preserve"> </w:t>
      </w:r>
      <w:r w:rsidRPr="003A78A7">
        <w:rPr>
          <w:lang w:val="en-GB"/>
        </w:rPr>
        <w:t>the one</w:t>
      </w:r>
      <w:r w:rsidR="002944D2">
        <w:rPr>
          <w:lang w:val="en-GB"/>
        </w:rPr>
        <w:t xml:space="preserve"> presented</w:t>
      </w:r>
      <w:r w:rsidRPr="003A78A7">
        <w:rPr>
          <w:lang w:val="en-GB"/>
        </w:rPr>
        <w:t xml:space="preserve"> in the work by Capra et al.</w:t>
      </w:r>
      <w:r>
        <w:rPr>
          <w:lang w:val="en-GB"/>
        </w:rPr>
        <w:t xml:space="preserve"> </w:t>
      </w:r>
      <w:r w:rsidR="00F3189E" w:rsidRPr="005D7CCB">
        <w:rPr>
          <w:lang w:val="en-GB"/>
        </w:rPr>
        <w:fldChar w:fldCharType="begin"/>
      </w:r>
      <w:r w:rsidR="00D53FE2" w:rsidRPr="005D7CCB">
        <w:rPr>
          <w:lang w:val="en-GB"/>
        </w:rPr>
        <w:instrText xml:space="preserve"> ADDIN EN.CITE &lt;EndNote&gt;&lt;Cite&gt;&lt;Author&gt;Capra&lt;/Author&gt;&lt;Year&gt;2019&lt;/Year&gt;&lt;RecNum&gt;2030&lt;/RecNum&gt;&lt;DisplayText&gt;(Capra et al., 2019)&lt;/DisplayText&gt;&lt;record&gt;&lt;rec-number&gt;2030&lt;/rec-number&gt;&lt;foreign-keys&gt;&lt;key app="EN" db-id="stz9sw5w2aavebe5dwyxrzpn9xfzftxr0ep2" timestamp="1737913088"&gt;2030&lt;/key&gt;&lt;/foreign-keys&gt;&lt;ref-type name="Journal Article"&gt;17&lt;/ref-type&gt;&lt;contributors&gt;&lt;authors&gt;&lt;author&gt;Capra, Federico&lt;/author&gt;&lt;author&gt;Magli, Francesco&lt;/author&gt;&lt;author&gt;Gatti, Manuele&lt;/author&gt;&lt;/authors&gt;&lt;/contributors&gt;&lt;titles&gt;&lt;title&gt;Biomethane liquefaction: A systematic comparative analysis of refrigeration technologies&lt;/title&gt;&lt;secondary-title&gt;Applied Thermal Engineering&lt;/secondary-title&gt;&lt;/titles&gt;&lt;periodical&gt;&lt;full-title&gt;Applied Thermal Engineering&lt;/full-title&gt;&lt;/periodical&gt;&lt;pages&gt;113815&lt;/pages&gt;&lt;volume&gt;158&lt;/volume&gt;&lt;dates&gt;&lt;year&gt;2019&lt;/year&gt;&lt;/dates&gt;&lt;isbn&gt;1359-4311&lt;/isbn&gt;&lt;urls&gt;&lt;/urls&gt;&lt;/record&gt;&lt;/Cite&gt;&lt;/EndNote&gt;</w:instrText>
      </w:r>
      <w:r w:rsidR="00F3189E" w:rsidRPr="005D7CCB">
        <w:rPr>
          <w:lang w:val="en-GB"/>
        </w:rPr>
        <w:fldChar w:fldCharType="separate"/>
      </w:r>
      <w:r w:rsidR="00D53FE2" w:rsidRPr="005D7CCB">
        <w:rPr>
          <w:noProof/>
          <w:lang w:val="en-GB"/>
        </w:rPr>
        <w:t>(Capra et al., 2019)</w:t>
      </w:r>
      <w:r w:rsidR="00F3189E" w:rsidRPr="005D7CCB">
        <w:rPr>
          <w:lang w:val="en-GB"/>
        </w:rPr>
        <w:fldChar w:fldCharType="end"/>
      </w:r>
      <w:r w:rsidR="00F3189E" w:rsidRPr="005D7CCB">
        <w:rPr>
          <w:lang w:val="en-GB"/>
        </w:rPr>
        <w:t xml:space="preserve"> </w:t>
      </w:r>
      <w:r w:rsidRPr="005D7CCB">
        <w:rPr>
          <w:lang w:val="en-GB"/>
        </w:rPr>
        <w:t>to account for the different tem</w:t>
      </w:r>
      <w:r w:rsidRPr="003A78A7">
        <w:rPr>
          <w:lang w:val="en-GB"/>
        </w:rPr>
        <w:t>perature and pressure</w:t>
      </w:r>
      <w:r>
        <w:rPr>
          <w:lang w:val="en-GB"/>
        </w:rPr>
        <w:t xml:space="preserve"> </w:t>
      </w:r>
      <w:r w:rsidRPr="003A78A7">
        <w:rPr>
          <w:lang w:val="en-GB"/>
        </w:rPr>
        <w:t xml:space="preserve">of BM at the </w:t>
      </w:r>
      <w:r w:rsidRPr="003A78A7">
        <w:rPr>
          <w:lang w:val="en-GB"/>
        </w:rPr>
        <w:lastRenderedPageBreak/>
        <w:t>refrigeration cycle inlet.</w:t>
      </w:r>
      <w:r>
        <w:rPr>
          <w:lang w:val="en-GB"/>
        </w:rPr>
        <w:t xml:space="preserve"> Indeed, in this</w:t>
      </w:r>
      <w:r w:rsidRPr="003A78A7">
        <w:rPr>
          <w:lang w:val="en-GB"/>
        </w:rPr>
        <w:t xml:space="preserve"> work, the recycled biomethane (stream #21</w:t>
      </w:r>
      <w:r w:rsidR="00527F6E">
        <w:rPr>
          <w:lang w:val="en-GB"/>
        </w:rPr>
        <w:t xml:space="preserve"> in Figure 4</w:t>
      </w:r>
      <w:r w:rsidRPr="003A78A7">
        <w:rPr>
          <w:lang w:val="en-GB"/>
        </w:rPr>
        <w:t>) and the upgraded biogas</w:t>
      </w:r>
      <w:r>
        <w:rPr>
          <w:lang w:val="en-GB"/>
        </w:rPr>
        <w:t xml:space="preserve"> </w:t>
      </w:r>
      <w:r w:rsidRPr="003A78A7">
        <w:rPr>
          <w:lang w:val="en-GB"/>
        </w:rPr>
        <w:t>(stream #1</w:t>
      </w:r>
      <w:r w:rsidR="00527F6E">
        <w:rPr>
          <w:lang w:val="en-GB"/>
        </w:rPr>
        <w:t xml:space="preserve"> in Figure 4</w:t>
      </w:r>
      <w:r w:rsidRPr="003A78A7">
        <w:rPr>
          <w:lang w:val="en-GB"/>
        </w:rPr>
        <w:t>) are not at the same temperature</w:t>
      </w:r>
      <w:r>
        <w:rPr>
          <w:lang w:val="en-GB"/>
        </w:rPr>
        <w:t xml:space="preserve"> and</w:t>
      </w:r>
      <w:r w:rsidRPr="003A78A7">
        <w:rPr>
          <w:lang w:val="en-GB"/>
        </w:rPr>
        <w:t xml:space="preserve"> mixing the two streams would</w:t>
      </w:r>
      <w:r>
        <w:rPr>
          <w:lang w:val="en-GB"/>
        </w:rPr>
        <w:t xml:space="preserve"> </w:t>
      </w:r>
      <w:r w:rsidRPr="003A78A7">
        <w:rPr>
          <w:lang w:val="en-GB"/>
        </w:rPr>
        <w:t>result in the generation of high irreversibility. Moreover, as the recycled gaseous</w:t>
      </w:r>
      <w:r>
        <w:rPr>
          <w:lang w:val="en-GB"/>
        </w:rPr>
        <w:t xml:space="preserve"> </w:t>
      </w:r>
      <w:r w:rsidRPr="003A78A7">
        <w:rPr>
          <w:lang w:val="en-GB"/>
        </w:rPr>
        <w:t>biomethane stream has a higher flowrate than the upgrad</w:t>
      </w:r>
      <w:r>
        <w:rPr>
          <w:lang w:val="en-GB"/>
        </w:rPr>
        <w:t>ed one</w:t>
      </w:r>
      <w:r w:rsidRPr="003A78A7">
        <w:rPr>
          <w:lang w:val="en-GB"/>
        </w:rPr>
        <w:t>, a high amount</w:t>
      </w:r>
      <w:r>
        <w:rPr>
          <w:lang w:val="en-GB"/>
        </w:rPr>
        <w:t xml:space="preserve"> </w:t>
      </w:r>
      <w:r w:rsidRPr="003A78A7">
        <w:rPr>
          <w:lang w:val="en-GB"/>
        </w:rPr>
        <w:t xml:space="preserve">of refrigeration power would be lost. Therefore, the cooling potential of the inlet stream </w:t>
      </w:r>
      <w:r w:rsidR="00750DDA">
        <w:rPr>
          <w:lang w:val="en-GB"/>
        </w:rPr>
        <w:t>has been</w:t>
      </w:r>
      <w:r>
        <w:rPr>
          <w:lang w:val="en-GB"/>
        </w:rPr>
        <w:t xml:space="preserve"> exploited </w:t>
      </w:r>
      <w:r w:rsidRPr="003A78A7">
        <w:rPr>
          <w:lang w:val="en-GB"/>
        </w:rPr>
        <w:t>in the multi</w:t>
      </w:r>
      <w:r>
        <w:rPr>
          <w:lang w:val="en-GB"/>
        </w:rPr>
        <w:t>-</w:t>
      </w:r>
      <w:r w:rsidRPr="003A78A7">
        <w:rPr>
          <w:lang w:val="en-GB"/>
        </w:rPr>
        <w:t xml:space="preserve">stream heat exchanger </w:t>
      </w:r>
      <w:r w:rsidR="00527F6E">
        <w:rPr>
          <w:lang w:val="en-GB"/>
        </w:rPr>
        <w:t xml:space="preserve">LNG-100 </w:t>
      </w:r>
      <w:r w:rsidRPr="003A78A7">
        <w:rPr>
          <w:lang w:val="en-GB"/>
        </w:rPr>
        <w:t>before</w:t>
      </w:r>
      <w:r>
        <w:rPr>
          <w:lang w:val="en-GB"/>
        </w:rPr>
        <w:t xml:space="preserve"> </w:t>
      </w:r>
      <w:r w:rsidRPr="003A78A7">
        <w:rPr>
          <w:lang w:val="en-GB"/>
        </w:rPr>
        <w:t xml:space="preserve">mixing it with the recycled stream, as shown in Figure </w:t>
      </w:r>
      <w:r>
        <w:rPr>
          <w:lang w:val="en-GB"/>
        </w:rPr>
        <w:t>4</w:t>
      </w:r>
      <w:r w:rsidRPr="003A78A7">
        <w:rPr>
          <w:lang w:val="en-GB"/>
        </w:rPr>
        <w:t>.</w:t>
      </w:r>
      <w:r w:rsidR="00DB2848">
        <w:rPr>
          <w:lang w:val="en-GB"/>
        </w:rPr>
        <w:t xml:space="preserve"> </w:t>
      </w:r>
      <w:r w:rsidR="00DB2848" w:rsidRPr="00DD7CFC">
        <w:rPr>
          <w:lang w:val="en-GB"/>
        </w:rPr>
        <w:t>The</w:t>
      </w:r>
      <w:r w:rsidR="00DB2848">
        <w:rPr>
          <w:lang w:val="en-GB"/>
        </w:rPr>
        <w:t xml:space="preserve"> optimal value of the decision variables </w:t>
      </w:r>
      <w:r w:rsidR="0083573A">
        <w:rPr>
          <w:lang w:val="en-GB"/>
        </w:rPr>
        <w:t xml:space="preserve">for this cycle </w:t>
      </w:r>
      <w:r w:rsidR="00DB2848">
        <w:rPr>
          <w:lang w:val="en-GB"/>
        </w:rPr>
        <w:t>is reported in Table 4.</w:t>
      </w:r>
    </w:p>
    <w:p w14:paraId="54AE03E8" w14:textId="5AD62A9E" w:rsidR="003A78A7" w:rsidRDefault="000D6EB2" w:rsidP="00553C14">
      <w:pPr>
        <w:pStyle w:val="CETBodytext"/>
        <w:keepNext/>
        <w:spacing w:before="240" w:after="240"/>
        <w:rPr>
          <w:lang w:val="en-GB"/>
        </w:rPr>
      </w:pPr>
      <w:r w:rsidRPr="000D6EB2">
        <w:rPr>
          <w:noProof/>
        </w:rPr>
        <w:drawing>
          <wp:inline distT="0" distB="0" distL="0" distR="0" wp14:anchorId="01D00BA1" wp14:editId="1C498CE4">
            <wp:extent cx="4363200" cy="2570400"/>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63200" cy="2570400"/>
                    </a:xfrm>
                    <a:prstGeom prst="rect">
                      <a:avLst/>
                    </a:prstGeom>
                    <a:noFill/>
                    <a:ln>
                      <a:noFill/>
                    </a:ln>
                  </pic:spPr>
                </pic:pic>
              </a:graphicData>
            </a:graphic>
          </wp:inline>
        </w:drawing>
      </w:r>
    </w:p>
    <w:p w14:paraId="32D8C096" w14:textId="04A5F3F2" w:rsidR="003A78A7" w:rsidRPr="00BD077D" w:rsidRDefault="003A78A7" w:rsidP="003A78A7">
      <w:pPr>
        <w:pStyle w:val="CETCaption"/>
      </w:pPr>
      <w:r w:rsidRPr="00BD077D">
        <w:rPr>
          <w:rStyle w:val="CETCaptionCarattere"/>
          <w:i/>
        </w:rPr>
        <w:t xml:space="preserve">Figure </w:t>
      </w:r>
      <w:r>
        <w:rPr>
          <w:rStyle w:val="CETCaptionCarattere"/>
          <w:i/>
        </w:rPr>
        <w:t>4</w:t>
      </w:r>
      <w:r w:rsidRPr="00BD077D">
        <w:rPr>
          <w:rStyle w:val="CETCaptionCarattere"/>
          <w:i/>
        </w:rPr>
        <w:t xml:space="preserve">: </w:t>
      </w:r>
      <w:r>
        <w:rPr>
          <w:rStyle w:val="CETCaptionCarattere"/>
          <w:i/>
        </w:rPr>
        <w:t>Scheme of the Claude cycle</w:t>
      </w:r>
    </w:p>
    <w:p w14:paraId="737C47CE" w14:textId="3A72B72F" w:rsidR="00DB2848" w:rsidRPr="00B57B36" w:rsidRDefault="00DB2848" w:rsidP="00A92115">
      <w:pPr>
        <w:pStyle w:val="CETTabletitle"/>
      </w:pPr>
      <w:r w:rsidRPr="00B57B36">
        <w:t xml:space="preserve">Table </w:t>
      </w:r>
      <w:r w:rsidR="00204A48">
        <w:t>4</w:t>
      </w:r>
      <w:r w:rsidRPr="00B57B36">
        <w:t xml:space="preserve">: </w:t>
      </w:r>
      <w:r>
        <w:t>Optimal decision variables for the Claude</w:t>
      </w:r>
      <w:r>
        <w:rPr>
          <w:rStyle w:val="CETCaptionCarattere"/>
          <w:i/>
        </w:rPr>
        <w:t xml:space="preserve"> cycle</w:t>
      </w:r>
      <w:r>
        <w:t xml:space="preserve"> in Figure 4</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458"/>
        <w:gridCol w:w="1134"/>
        <w:gridCol w:w="1134"/>
        <w:gridCol w:w="1134"/>
        <w:gridCol w:w="1134"/>
      </w:tblGrid>
      <w:tr w:rsidR="00DB2848" w:rsidRPr="00B57B36" w14:paraId="571983A7" w14:textId="77777777" w:rsidTr="00433810">
        <w:tc>
          <w:tcPr>
            <w:tcW w:w="3458" w:type="dxa"/>
            <w:tcBorders>
              <w:top w:val="single" w:sz="12" w:space="0" w:color="008000"/>
              <w:bottom w:val="single" w:sz="6" w:space="0" w:color="008000"/>
            </w:tcBorders>
            <w:shd w:val="clear" w:color="auto" w:fill="FFFFFF"/>
          </w:tcPr>
          <w:p w14:paraId="01DBA087" w14:textId="77777777" w:rsidR="00DB2848" w:rsidRPr="00B57B36" w:rsidRDefault="00DB2848" w:rsidP="00A92115">
            <w:pPr>
              <w:pStyle w:val="CETBodytext"/>
              <w:keepNext/>
              <w:rPr>
                <w:lang w:val="en-GB"/>
              </w:rPr>
            </w:pPr>
            <w:r>
              <w:rPr>
                <w:lang w:val="en-GB"/>
              </w:rPr>
              <w:t>Variable</w:t>
            </w:r>
            <w:r w:rsidRPr="00B57B36">
              <w:rPr>
                <w:lang w:val="en-GB"/>
              </w:rPr>
              <w:t xml:space="preserve"> </w:t>
            </w:r>
          </w:p>
        </w:tc>
        <w:tc>
          <w:tcPr>
            <w:tcW w:w="1134" w:type="dxa"/>
            <w:tcBorders>
              <w:top w:val="single" w:sz="12" w:space="0" w:color="008000"/>
              <w:bottom w:val="single" w:sz="6" w:space="0" w:color="008000"/>
            </w:tcBorders>
            <w:shd w:val="clear" w:color="auto" w:fill="FFFFFF"/>
          </w:tcPr>
          <w:p w14:paraId="61AA03BA" w14:textId="77777777" w:rsidR="00DB2848" w:rsidRPr="00B57B36" w:rsidRDefault="00DB2848" w:rsidP="00A92115">
            <w:pPr>
              <w:pStyle w:val="CETBodytext"/>
              <w:keepNext/>
              <w:rPr>
                <w:lang w:val="en-GB"/>
              </w:rPr>
            </w:pPr>
            <w:r>
              <w:rPr>
                <w:lang w:val="en-GB"/>
              </w:rPr>
              <w:t>Symbol</w:t>
            </w:r>
          </w:p>
        </w:tc>
        <w:tc>
          <w:tcPr>
            <w:tcW w:w="1134" w:type="dxa"/>
            <w:tcBorders>
              <w:top w:val="single" w:sz="12" w:space="0" w:color="008000"/>
              <w:bottom w:val="single" w:sz="6" w:space="0" w:color="008000"/>
            </w:tcBorders>
            <w:shd w:val="clear" w:color="auto" w:fill="FFFFFF"/>
          </w:tcPr>
          <w:p w14:paraId="525DE89D" w14:textId="77777777" w:rsidR="00DB2848" w:rsidRPr="00B57B36" w:rsidRDefault="00DB2848" w:rsidP="00A92115">
            <w:pPr>
              <w:pStyle w:val="CETBodytext"/>
              <w:keepNext/>
              <w:rPr>
                <w:lang w:val="en-GB"/>
              </w:rPr>
            </w:pPr>
            <w:r>
              <w:rPr>
                <w:lang w:val="en-GB"/>
              </w:rPr>
              <w:t>Optimal value</w:t>
            </w:r>
          </w:p>
        </w:tc>
        <w:tc>
          <w:tcPr>
            <w:tcW w:w="1134" w:type="dxa"/>
            <w:tcBorders>
              <w:top w:val="single" w:sz="12" w:space="0" w:color="008000"/>
              <w:bottom w:val="single" w:sz="6" w:space="0" w:color="008000"/>
            </w:tcBorders>
            <w:shd w:val="clear" w:color="auto" w:fill="FFFFFF"/>
          </w:tcPr>
          <w:p w14:paraId="77B1AB0B" w14:textId="77777777" w:rsidR="00DB2848" w:rsidRPr="00B57B36" w:rsidRDefault="00DB2848" w:rsidP="00A92115">
            <w:pPr>
              <w:pStyle w:val="CETBodytext"/>
              <w:keepNext/>
              <w:ind w:right="-1"/>
              <w:rPr>
                <w:rFonts w:cs="Arial"/>
                <w:szCs w:val="18"/>
                <w:lang w:val="en-GB"/>
              </w:rPr>
            </w:pPr>
          </w:p>
        </w:tc>
        <w:tc>
          <w:tcPr>
            <w:tcW w:w="1134" w:type="dxa"/>
            <w:tcBorders>
              <w:top w:val="single" w:sz="12" w:space="0" w:color="008000"/>
              <w:bottom w:val="single" w:sz="6" w:space="0" w:color="008000"/>
            </w:tcBorders>
            <w:shd w:val="clear" w:color="auto" w:fill="FFFFFF"/>
          </w:tcPr>
          <w:p w14:paraId="75FBC74B" w14:textId="77777777" w:rsidR="00DB2848" w:rsidRPr="00B57B36" w:rsidRDefault="00DB2848" w:rsidP="00A92115">
            <w:pPr>
              <w:pStyle w:val="CETBodytext"/>
              <w:keepNext/>
              <w:ind w:right="-1"/>
              <w:rPr>
                <w:rFonts w:cs="Arial"/>
                <w:szCs w:val="18"/>
                <w:lang w:val="en-GB"/>
              </w:rPr>
            </w:pPr>
          </w:p>
        </w:tc>
      </w:tr>
      <w:tr w:rsidR="00DB2848" w:rsidRPr="00B57B36" w14:paraId="77240492" w14:textId="77777777" w:rsidTr="00433810">
        <w:tc>
          <w:tcPr>
            <w:tcW w:w="3458" w:type="dxa"/>
            <w:shd w:val="clear" w:color="auto" w:fill="FFFFFF"/>
          </w:tcPr>
          <w:p w14:paraId="08DC7DCE" w14:textId="43A90D0C" w:rsidR="00DB2848" w:rsidRPr="00110F18" w:rsidRDefault="00110F18" w:rsidP="00A92115">
            <w:pPr>
              <w:pStyle w:val="CETBodytext"/>
              <w:keepNext/>
            </w:pPr>
            <w:r w:rsidRPr="00110F18">
              <w:t xml:space="preserve">BM pressure at </w:t>
            </w:r>
            <w:r w:rsidR="00433810">
              <w:t>LNG-100</w:t>
            </w:r>
            <w:r w:rsidRPr="00110F18">
              <w:t xml:space="preserve"> inlet, kPa</w:t>
            </w:r>
          </w:p>
        </w:tc>
        <w:tc>
          <w:tcPr>
            <w:tcW w:w="1134" w:type="dxa"/>
            <w:shd w:val="clear" w:color="auto" w:fill="FFFFFF"/>
          </w:tcPr>
          <w:p w14:paraId="0DD2FD0A" w14:textId="5FBCD930" w:rsidR="00DB2848" w:rsidRPr="00B57B36" w:rsidRDefault="00110F18" w:rsidP="00A92115">
            <w:pPr>
              <w:pStyle w:val="CETBodytext"/>
              <w:keepNext/>
              <w:rPr>
                <w:lang w:val="en-GB"/>
              </w:rPr>
            </w:pPr>
            <w:r>
              <w:rPr>
                <w:lang w:val="en-GB"/>
              </w:rPr>
              <w:t>P</w:t>
            </w:r>
            <w:r w:rsidRPr="00527F6E">
              <w:rPr>
                <w:vertAlign w:val="subscript"/>
                <w:lang w:val="en-GB"/>
              </w:rPr>
              <w:t>2</w:t>
            </w:r>
          </w:p>
        </w:tc>
        <w:tc>
          <w:tcPr>
            <w:tcW w:w="1134" w:type="dxa"/>
            <w:shd w:val="clear" w:color="auto" w:fill="FFFFFF"/>
          </w:tcPr>
          <w:p w14:paraId="72421AC2" w14:textId="094CFA03" w:rsidR="00DB2848" w:rsidRPr="00B57B36" w:rsidRDefault="00110F18" w:rsidP="00A92115">
            <w:pPr>
              <w:pStyle w:val="CETBodytext"/>
              <w:keepNext/>
              <w:rPr>
                <w:lang w:val="en-GB"/>
              </w:rPr>
            </w:pPr>
            <w:r>
              <w:rPr>
                <w:lang w:val="en-GB"/>
              </w:rPr>
              <w:t>3761.30</w:t>
            </w:r>
          </w:p>
        </w:tc>
        <w:tc>
          <w:tcPr>
            <w:tcW w:w="1134" w:type="dxa"/>
            <w:shd w:val="clear" w:color="auto" w:fill="FFFFFF"/>
          </w:tcPr>
          <w:p w14:paraId="6D09722B" w14:textId="77777777" w:rsidR="00DB2848" w:rsidRPr="00B57B36" w:rsidRDefault="00DB2848" w:rsidP="00A92115">
            <w:pPr>
              <w:pStyle w:val="CETBodytext"/>
              <w:keepNext/>
              <w:ind w:right="-1"/>
              <w:rPr>
                <w:rFonts w:cs="Arial"/>
                <w:szCs w:val="18"/>
                <w:lang w:val="en-GB"/>
              </w:rPr>
            </w:pPr>
          </w:p>
        </w:tc>
        <w:tc>
          <w:tcPr>
            <w:tcW w:w="1134" w:type="dxa"/>
            <w:shd w:val="clear" w:color="auto" w:fill="FFFFFF"/>
          </w:tcPr>
          <w:p w14:paraId="1E6DD8D4" w14:textId="77777777" w:rsidR="00DB2848" w:rsidRPr="00B57B36" w:rsidRDefault="00DB2848" w:rsidP="00A92115">
            <w:pPr>
              <w:pStyle w:val="CETBodytext"/>
              <w:keepNext/>
              <w:ind w:right="-1"/>
              <w:rPr>
                <w:rFonts w:cs="Arial"/>
                <w:szCs w:val="18"/>
                <w:lang w:val="en-GB"/>
              </w:rPr>
            </w:pPr>
          </w:p>
        </w:tc>
      </w:tr>
      <w:tr w:rsidR="00DB2848" w:rsidRPr="00B57B36" w14:paraId="422CBCAF" w14:textId="77777777" w:rsidTr="00433810">
        <w:tc>
          <w:tcPr>
            <w:tcW w:w="3458" w:type="dxa"/>
            <w:shd w:val="clear" w:color="auto" w:fill="FFFFFF"/>
          </w:tcPr>
          <w:p w14:paraId="3BD040C9" w14:textId="50268301" w:rsidR="00DB2848" w:rsidRPr="00110F18" w:rsidRDefault="00110F18" w:rsidP="00A92115">
            <w:pPr>
              <w:pStyle w:val="CETBodytext"/>
              <w:keepNext/>
            </w:pPr>
            <w:r w:rsidRPr="00110F18">
              <w:t>Max. refrigeration cycle pressure, kPa</w:t>
            </w:r>
          </w:p>
        </w:tc>
        <w:tc>
          <w:tcPr>
            <w:tcW w:w="1134" w:type="dxa"/>
            <w:shd w:val="clear" w:color="auto" w:fill="FFFFFF"/>
          </w:tcPr>
          <w:p w14:paraId="3F5240A7" w14:textId="6C2BD68E" w:rsidR="00DB2848" w:rsidRDefault="00110F18" w:rsidP="00A92115">
            <w:pPr>
              <w:pStyle w:val="CETBodytext"/>
              <w:keepNext/>
              <w:rPr>
                <w:lang w:val="en-GB"/>
              </w:rPr>
            </w:pPr>
            <w:r>
              <w:rPr>
                <w:lang w:val="en-GB"/>
              </w:rPr>
              <w:t>P</w:t>
            </w:r>
            <w:r w:rsidRPr="00527F6E">
              <w:rPr>
                <w:vertAlign w:val="subscript"/>
                <w:lang w:val="en-GB"/>
              </w:rPr>
              <w:t>5</w:t>
            </w:r>
          </w:p>
        </w:tc>
        <w:tc>
          <w:tcPr>
            <w:tcW w:w="1134" w:type="dxa"/>
            <w:shd w:val="clear" w:color="auto" w:fill="FFFFFF"/>
          </w:tcPr>
          <w:p w14:paraId="51871425" w14:textId="1F570A6E" w:rsidR="00DB2848" w:rsidRDefault="00110F18" w:rsidP="00A92115">
            <w:pPr>
              <w:pStyle w:val="CETBodytext"/>
              <w:keepNext/>
              <w:rPr>
                <w:lang w:val="en-GB"/>
              </w:rPr>
            </w:pPr>
            <w:r>
              <w:rPr>
                <w:lang w:val="en-GB"/>
              </w:rPr>
              <w:t>7438.70</w:t>
            </w:r>
          </w:p>
        </w:tc>
        <w:tc>
          <w:tcPr>
            <w:tcW w:w="1134" w:type="dxa"/>
            <w:shd w:val="clear" w:color="auto" w:fill="FFFFFF"/>
          </w:tcPr>
          <w:p w14:paraId="461CA23D" w14:textId="77777777" w:rsidR="00DB2848" w:rsidRPr="00B57B36" w:rsidRDefault="00DB2848" w:rsidP="00A92115">
            <w:pPr>
              <w:pStyle w:val="CETBodytext"/>
              <w:keepNext/>
              <w:ind w:right="-1"/>
              <w:rPr>
                <w:rFonts w:cs="Arial"/>
                <w:szCs w:val="18"/>
                <w:lang w:val="en-GB"/>
              </w:rPr>
            </w:pPr>
          </w:p>
        </w:tc>
        <w:tc>
          <w:tcPr>
            <w:tcW w:w="1134" w:type="dxa"/>
            <w:shd w:val="clear" w:color="auto" w:fill="FFFFFF"/>
          </w:tcPr>
          <w:p w14:paraId="5388CCFC" w14:textId="77777777" w:rsidR="00DB2848" w:rsidRPr="00B57B36" w:rsidRDefault="00DB2848" w:rsidP="00A92115">
            <w:pPr>
              <w:pStyle w:val="CETBodytext"/>
              <w:keepNext/>
              <w:ind w:right="-1"/>
              <w:rPr>
                <w:rFonts w:cs="Arial"/>
                <w:szCs w:val="18"/>
                <w:lang w:val="en-GB"/>
              </w:rPr>
            </w:pPr>
          </w:p>
        </w:tc>
      </w:tr>
      <w:tr w:rsidR="00DB2848" w:rsidRPr="00B57B36" w14:paraId="54D199DC" w14:textId="77777777" w:rsidTr="00433810">
        <w:tc>
          <w:tcPr>
            <w:tcW w:w="3458" w:type="dxa"/>
            <w:shd w:val="clear" w:color="auto" w:fill="FFFFFF"/>
          </w:tcPr>
          <w:p w14:paraId="494F56F2" w14:textId="56BC22C8" w:rsidR="00DB2848" w:rsidRDefault="00110F18" w:rsidP="00A92115">
            <w:pPr>
              <w:pStyle w:val="CETBodytext"/>
              <w:keepNext/>
              <w:rPr>
                <w:lang w:val="en-GB"/>
              </w:rPr>
            </w:pPr>
            <w:r w:rsidRPr="00110F18">
              <w:rPr>
                <w:lang w:val="en-GB"/>
              </w:rPr>
              <w:t xml:space="preserve">Temperature after BM precooling, </w:t>
            </w:r>
            <w:r>
              <w:rPr>
                <w:lang w:val="en-GB"/>
              </w:rPr>
              <w:t>°C</w:t>
            </w:r>
          </w:p>
        </w:tc>
        <w:tc>
          <w:tcPr>
            <w:tcW w:w="1134" w:type="dxa"/>
            <w:shd w:val="clear" w:color="auto" w:fill="FFFFFF"/>
          </w:tcPr>
          <w:p w14:paraId="03C765CC" w14:textId="7EA3D564" w:rsidR="00DB2848" w:rsidRDefault="00110F18" w:rsidP="00A92115">
            <w:pPr>
              <w:pStyle w:val="CETBodytext"/>
              <w:keepNext/>
              <w:rPr>
                <w:lang w:val="en-GB"/>
              </w:rPr>
            </w:pPr>
            <w:r>
              <w:rPr>
                <w:lang w:val="en-GB"/>
              </w:rPr>
              <w:t>T</w:t>
            </w:r>
            <w:r w:rsidRPr="00527F6E">
              <w:rPr>
                <w:vertAlign w:val="subscript"/>
                <w:lang w:val="en-GB"/>
              </w:rPr>
              <w:t>7</w:t>
            </w:r>
          </w:p>
        </w:tc>
        <w:tc>
          <w:tcPr>
            <w:tcW w:w="1134" w:type="dxa"/>
            <w:shd w:val="clear" w:color="auto" w:fill="FFFFFF"/>
          </w:tcPr>
          <w:p w14:paraId="1398FB75" w14:textId="0E803ABC" w:rsidR="00DB2848" w:rsidRDefault="00110F18" w:rsidP="00A92115">
            <w:pPr>
              <w:pStyle w:val="CETBodytext"/>
              <w:keepNext/>
              <w:rPr>
                <w:lang w:val="en-GB"/>
              </w:rPr>
            </w:pPr>
            <w:r>
              <w:rPr>
                <w:lang w:val="en-GB"/>
              </w:rPr>
              <w:t>-18.9</w:t>
            </w:r>
          </w:p>
        </w:tc>
        <w:tc>
          <w:tcPr>
            <w:tcW w:w="1134" w:type="dxa"/>
            <w:shd w:val="clear" w:color="auto" w:fill="FFFFFF"/>
          </w:tcPr>
          <w:p w14:paraId="6EF381C1" w14:textId="77777777" w:rsidR="00DB2848" w:rsidRPr="00B57B36" w:rsidRDefault="00DB2848" w:rsidP="00A92115">
            <w:pPr>
              <w:pStyle w:val="CETBodytext"/>
              <w:keepNext/>
              <w:ind w:right="-1"/>
              <w:rPr>
                <w:rFonts w:cs="Arial"/>
                <w:szCs w:val="18"/>
                <w:lang w:val="en-GB"/>
              </w:rPr>
            </w:pPr>
          </w:p>
        </w:tc>
        <w:tc>
          <w:tcPr>
            <w:tcW w:w="1134" w:type="dxa"/>
            <w:shd w:val="clear" w:color="auto" w:fill="FFFFFF"/>
          </w:tcPr>
          <w:p w14:paraId="0EC5C98B" w14:textId="77777777" w:rsidR="00DB2848" w:rsidRPr="00B57B36" w:rsidRDefault="00DB2848" w:rsidP="00A92115">
            <w:pPr>
              <w:pStyle w:val="CETBodytext"/>
              <w:keepNext/>
              <w:ind w:right="-1"/>
              <w:rPr>
                <w:rFonts w:cs="Arial"/>
                <w:szCs w:val="18"/>
                <w:lang w:val="en-GB"/>
              </w:rPr>
            </w:pPr>
          </w:p>
        </w:tc>
      </w:tr>
      <w:tr w:rsidR="00DB2848" w:rsidRPr="00B57B36" w14:paraId="12223722" w14:textId="77777777" w:rsidTr="00433810">
        <w:tc>
          <w:tcPr>
            <w:tcW w:w="3458" w:type="dxa"/>
            <w:shd w:val="clear" w:color="auto" w:fill="FFFFFF"/>
          </w:tcPr>
          <w:p w14:paraId="080867E3" w14:textId="1AC38234" w:rsidR="00DB2848" w:rsidRPr="00110F18" w:rsidRDefault="00110F18" w:rsidP="00A92115">
            <w:pPr>
              <w:pStyle w:val="CETBodytext"/>
              <w:keepNext/>
              <w:ind w:right="-1"/>
              <w:rPr>
                <w:rFonts w:cs="Arial"/>
                <w:szCs w:val="18"/>
              </w:rPr>
            </w:pPr>
            <w:r w:rsidRPr="00110F18">
              <w:rPr>
                <w:rFonts w:cs="Arial"/>
                <w:szCs w:val="18"/>
              </w:rPr>
              <w:t xml:space="preserve">Temperature before </w:t>
            </w:r>
            <w:r w:rsidR="00433810">
              <w:rPr>
                <w:rFonts w:cs="Arial"/>
                <w:szCs w:val="18"/>
              </w:rPr>
              <w:t>VLV-101</w:t>
            </w:r>
            <w:r w:rsidRPr="00110F18">
              <w:rPr>
                <w:rFonts w:cs="Arial"/>
                <w:szCs w:val="18"/>
              </w:rPr>
              <w:t xml:space="preserve"> valve, kPa</w:t>
            </w:r>
          </w:p>
        </w:tc>
        <w:tc>
          <w:tcPr>
            <w:tcW w:w="1134" w:type="dxa"/>
            <w:shd w:val="clear" w:color="auto" w:fill="FFFFFF"/>
          </w:tcPr>
          <w:p w14:paraId="45863692" w14:textId="6840EB77" w:rsidR="00DB2848" w:rsidRDefault="00110F18" w:rsidP="00A92115">
            <w:pPr>
              <w:pStyle w:val="CETBodytext"/>
              <w:keepNext/>
              <w:ind w:right="-1"/>
              <w:rPr>
                <w:rFonts w:cs="Arial"/>
                <w:szCs w:val="18"/>
                <w:lang w:val="en-GB"/>
              </w:rPr>
            </w:pPr>
            <w:r>
              <w:rPr>
                <w:rFonts w:cs="Arial"/>
                <w:szCs w:val="18"/>
                <w:lang w:val="en-GB"/>
              </w:rPr>
              <w:t>T</w:t>
            </w:r>
            <w:r w:rsidRPr="00527F6E">
              <w:rPr>
                <w:rFonts w:cs="Arial"/>
                <w:szCs w:val="18"/>
                <w:vertAlign w:val="subscript"/>
                <w:lang w:val="en-GB"/>
              </w:rPr>
              <w:t>9</w:t>
            </w:r>
          </w:p>
        </w:tc>
        <w:tc>
          <w:tcPr>
            <w:tcW w:w="1134" w:type="dxa"/>
            <w:shd w:val="clear" w:color="auto" w:fill="FFFFFF"/>
          </w:tcPr>
          <w:p w14:paraId="48E86757" w14:textId="78A794AD" w:rsidR="00DB2848" w:rsidRDefault="00110F18" w:rsidP="00A92115">
            <w:pPr>
              <w:pStyle w:val="CETBodytext"/>
              <w:keepNext/>
              <w:ind w:right="-1"/>
              <w:rPr>
                <w:rFonts w:cs="Arial"/>
                <w:szCs w:val="18"/>
                <w:lang w:val="en-GB"/>
              </w:rPr>
            </w:pPr>
            <w:r>
              <w:rPr>
                <w:rFonts w:cs="Arial"/>
                <w:szCs w:val="18"/>
                <w:lang w:val="en-GB"/>
              </w:rPr>
              <w:t>-157.40</w:t>
            </w:r>
          </w:p>
        </w:tc>
        <w:tc>
          <w:tcPr>
            <w:tcW w:w="1134" w:type="dxa"/>
            <w:shd w:val="clear" w:color="auto" w:fill="FFFFFF"/>
          </w:tcPr>
          <w:p w14:paraId="16D14874" w14:textId="77777777" w:rsidR="00DB2848" w:rsidRPr="00B57B36" w:rsidRDefault="00DB2848" w:rsidP="00A92115">
            <w:pPr>
              <w:pStyle w:val="CETBodytext"/>
              <w:keepNext/>
              <w:ind w:right="-1"/>
              <w:rPr>
                <w:rFonts w:cs="Arial"/>
                <w:szCs w:val="18"/>
                <w:lang w:val="en-GB"/>
              </w:rPr>
            </w:pPr>
          </w:p>
        </w:tc>
        <w:tc>
          <w:tcPr>
            <w:tcW w:w="1134" w:type="dxa"/>
            <w:shd w:val="clear" w:color="auto" w:fill="FFFFFF"/>
          </w:tcPr>
          <w:p w14:paraId="75D5476E" w14:textId="77777777" w:rsidR="00DB2848" w:rsidRPr="00B57B36" w:rsidRDefault="00DB2848" w:rsidP="00A92115">
            <w:pPr>
              <w:pStyle w:val="CETBodytext"/>
              <w:keepNext/>
              <w:ind w:right="-1"/>
              <w:rPr>
                <w:rFonts w:cs="Arial"/>
                <w:szCs w:val="18"/>
                <w:lang w:val="en-GB"/>
              </w:rPr>
            </w:pPr>
          </w:p>
        </w:tc>
      </w:tr>
      <w:tr w:rsidR="00DB2848" w:rsidRPr="00B57B36" w14:paraId="75B02C75" w14:textId="77777777" w:rsidTr="00433810">
        <w:tc>
          <w:tcPr>
            <w:tcW w:w="3458" w:type="dxa"/>
            <w:shd w:val="clear" w:color="auto" w:fill="FFFFFF"/>
          </w:tcPr>
          <w:p w14:paraId="1CC4CA1F" w14:textId="2C16F088" w:rsidR="00DB2848" w:rsidRDefault="00110F18" w:rsidP="00A92115">
            <w:pPr>
              <w:pStyle w:val="CETBodytext"/>
              <w:keepNext/>
              <w:ind w:right="-1"/>
              <w:rPr>
                <w:rFonts w:cs="Arial"/>
                <w:szCs w:val="18"/>
                <w:lang w:val="en-GB"/>
              </w:rPr>
            </w:pPr>
            <w:r w:rsidRPr="00110F18">
              <w:rPr>
                <w:rFonts w:cs="Arial"/>
                <w:szCs w:val="18"/>
                <w:lang w:val="en-GB"/>
              </w:rPr>
              <w:t>Interm</w:t>
            </w:r>
            <w:r w:rsidR="00433810">
              <w:rPr>
                <w:rFonts w:cs="Arial"/>
                <w:szCs w:val="18"/>
                <w:lang w:val="en-GB"/>
              </w:rPr>
              <w:t>ediate</w:t>
            </w:r>
            <w:r w:rsidRPr="00110F18">
              <w:rPr>
                <w:rFonts w:cs="Arial"/>
                <w:szCs w:val="18"/>
                <w:lang w:val="en-GB"/>
              </w:rPr>
              <w:t xml:space="preserve"> compression pressure, kPa</w:t>
            </w:r>
          </w:p>
        </w:tc>
        <w:tc>
          <w:tcPr>
            <w:tcW w:w="1134" w:type="dxa"/>
            <w:shd w:val="clear" w:color="auto" w:fill="FFFFFF"/>
          </w:tcPr>
          <w:p w14:paraId="448ACDEB" w14:textId="4762AFB6" w:rsidR="00DB2848" w:rsidRDefault="00110F18" w:rsidP="00A92115">
            <w:pPr>
              <w:pStyle w:val="CETBodytext"/>
              <w:keepNext/>
              <w:ind w:right="-1"/>
              <w:rPr>
                <w:rFonts w:cs="Arial"/>
                <w:szCs w:val="18"/>
                <w:lang w:val="en-GB"/>
              </w:rPr>
            </w:pPr>
            <w:r>
              <w:rPr>
                <w:rFonts w:cs="Arial"/>
                <w:szCs w:val="18"/>
                <w:lang w:val="en-GB"/>
              </w:rPr>
              <w:t>P</w:t>
            </w:r>
            <w:r w:rsidRPr="00527F6E">
              <w:rPr>
                <w:rFonts w:cs="Arial"/>
                <w:szCs w:val="18"/>
                <w:vertAlign w:val="subscript"/>
                <w:lang w:val="en-GB"/>
              </w:rPr>
              <w:t>18</w:t>
            </w:r>
          </w:p>
        </w:tc>
        <w:tc>
          <w:tcPr>
            <w:tcW w:w="1134" w:type="dxa"/>
            <w:shd w:val="clear" w:color="auto" w:fill="FFFFFF"/>
          </w:tcPr>
          <w:p w14:paraId="1C0A953A" w14:textId="5957827C" w:rsidR="00DB2848" w:rsidRDefault="00110F18" w:rsidP="00A92115">
            <w:pPr>
              <w:pStyle w:val="CETBodytext"/>
              <w:keepNext/>
              <w:ind w:right="-1"/>
              <w:rPr>
                <w:rFonts w:cs="Arial"/>
                <w:szCs w:val="18"/>
                <w:lang w:val="en-GB"/>
              </w:rPr>
            </w:pPr>
            <w:r>
              <w:rPr>
                <w:rFonts w:cs="Arial"/>
                <w:szCs w:val="18"/>
                <w:lang w:val="en-GB"/>
              </w:rPr>
              <w:t>1100.00</w:t>
            </w:r>
          </w:p>
        </w:tc>
        <w:tc>
          <w:tcPr>
            <w:tcW w:w="1134" w:type="dxa"/>
            <w:shd w:val="clear" w:color="auto" w:fill="FFFFFF"/>
          </w:tcPr>
          <w:p w14:paraId="5D0B9847" w14:textId="77777777" w:rsidR="00DB2848" w:rsidRPr="00B57B36" w:rsidRDefault="00DB2848" w:rsidP="00A92115">
            <w:pPr>
              <w:pStyle w:val="CETBodytext"/>
              <w:keepNext/>
              <w:ind w:right="-1"/>
              <w:rPr>
                <w:rFonts w:cs="Arial"/>
                <w:szCs w:val="18"/>
                <w:lang w:val="en-GB"/>
              </w:rPr>
            </w:pPr>
          </w:p>
        </w:tc>
        <w:tc>
          <w:tcPr>
            <w:tcW w:w="1134" w:type="dxa"/>
            <w:shd w:val="clear" w:color="auto" w:fill="FFFFFF"/>
          </w:tcPr>
          <w:p w14:paraId="20DDBD34" w14:textId="77777777" w:rsidR="00DB2848" w:rsidRPr="00B57B36" w:rsidRDefault="00DB2848" w:rsidP="00A92115">
            <w:pPr>
              <w:pStyle w:val="CETBodytext"/>
              <w:keepNext/>
              <w:ind w:right="-1"/>
              <w:rPr>
                <w:rFonts w:cs="Arial"/>
                <w:szCs w:val="18"/>
                <w:lang w:val="en-GB"/>
              </w:rPr>
            </w:pPr>
          </w:p>
        </w:tc>
      </w:tr>
      <w:tr w:rsidR="00DB2848" w:rsidRPr="00B57B36" w14:paraId="2029806C" w14:textId="77777777" w:rsidTr="00433810">
        <w:tc>
          <w:tcPr>
            <w:tcW w:w="3458" w:type="dxa"/>
            <w:shd w:val="clear" w:color="auto" w:fill="FFFFFF"/>
          </w:tcPr>
          <w:p w14:paraId="48419C18" w14:textId="5D1BD163" w:rsidR="00DB2848" w:rsidRPr="00110F18" w:rsidRDefault="00110F18" w:rsidP="00613CCD">
            <w:pPr>
              <w:pStyle w:val="CETBodytext"/>
              <w:ind w:right="-1"/>
              <w:rPr>
                <w:rFonts w:cs="Arial"/>
                <w:szCs w:val="18"/>
              </w:rPr>
            </w:pPr>
            <w:r w:rsidRPr="00110F18">
              <w:rPr>
                <w:rFonts w:cs="Arial"/>
                <w:szCs w:val="18"/>
              </w:rPr>
              <w:t xml:space="preserve">BM molar flow rate to </w:t>
            </w:r>
            <w:r w:rsidR="00527F6E">
              <w:rPr>
                <w:rFonts w:cs="Arial"/>
                <w:szCs w:val="18"/>
              </w:rPr>
              <w:t>K-101</w:t>
            </w:r>
            <w:r w:rsidRPr="00110F18">
              <w:rPr>
                <w:rFonts w:cs="Arial"/>
                <w:szCs w:val="18"/>
              </w:rPr>
              <w:t xml:space="preserve">, </w:t>
            </w:r>
            <w:proofErr w:type="spellStart"/>
            <w:r w:rsidRPr="00110F18">
              <w:rPr>
                <w:rFonts w:cs="Arial"/>
                <w:szCs w:val="18"/>
              </w:rPr>
              <w:t>kmol</w:t>
            </w:r>
            <w:proofErr w:type="spellEnd"/>
            <w:r w:rsidRPr="00110F18">
              <w:rPr>
                <w:rFonts w:cs="Arial"/>
                <w:szCs w:val="18"/>
              </w:rPr>
              <w:t>/h</w:t>
            </w:r>
          </w:p>
        </w:tc>
        <w:tc>
          <w:tcPr>
            <w:tcW w:w="1134" w:type="dxa"/>
            <w:shd w:val="clear" w:color="auto" w:fill="FFFFFF"/>
          </w:tcPr>
          <w:p w14:paraId="180E0DB4" w14:textId="614363C2" w:rsidR="00DB2848" w:rsidRPr="00773D30" w:rsidRDefault="00C63523" w:rsidP="00613CCD">
            <w:pPr>
              <w:pStyle w:val="CETBodytext"/>
              <w:ind w:right="-1"/>
              <w:rPr>
                <w:rFonts w:cs="Arial"/>
                <w:szCs w:val="18"/>
                <w:lang w:val="en-GB"/>
              </w:rPr>
            </w:pPr>
            <m:oMathPara>
              <m:oMathParaPr>
                <m:jc m:val="left"/>
              </m:oMathParaPr>
              <m:oMath>
                <m:sSub>
                  <m:sSubPr>
                    <m:ctrlPr>
                      <w:rPr>
                        <w:rFonts w:ascii="Cambria Math" w:hAnsi="Cambria Math" w:cs="Arial"/>
                        <w:i/>
                        <w:szCs w:val="18"/>
                        <w:lang w:val="en-GB"/>
                      </w:rPr>
                    </m:ctrlPr>
                  </m:sSubPr>
                  <m:e>
                    <m:acc>
                      <m:accPr>
                        <m:chr m:val="̇"/>
                        <m:ctrlPr>
                          <w:rPr>
                            <w:rFonts w:ascii="Cambria Math" w:hAnsi="Cambria Math" w:cs="Arial"/>
                            <w:i/>
                            <w:szCs w:val="18"/>
                            <w:lang w:val="en-GB"/>
                          </w:rPr>
                        </m:ctrlPr>
                      </m:accPr>
                      <m:e>
                        <m:r>
                          <w:rPr>
                            <w:rFonts w:ascii="Cambria Math" w:hAnsi="Cambria Math" w:cs="Arial"/>
                            <w:szCs w:val="18"/>
                            <w:lang w:val="en-GB"/>
                          </w:rPr>
                          <m:t>n</m:t>
                        </m:r>
                      </m:e>
                    </m:acc>
                  </m:e>
                  <m:sub>
                    <m:r>
                      <w:rPr>
                        <w:rFonts w:ascii="Cambria Math" w:hAnsi="Cambria Math" w:cs="Arial"/>
                        <w:szCs w:val="18"/>
                        <w:lang w:val="en-GB"/>
                      </w:rPr>
                      <m:t>12</m:t>
                    </m:r>
                  </m:sub>
                </m:sSub>
              </m:oMath>
            </m:oMathPara>
          </w:p>
        </w:tc>
        <w:tc>
          <w:tcPr>
            <w:tcW w:w="1134" w:type="dxa"/>
            <w:shd w:val="clear" w:color="auto" w:fill="FFFFFF"/>
          </w:tcPr>
          <w:p w14:paraId="6E3062B8" w14:textId="45E73083" w:rsidR="00DB2848" w:rsidRPr="00B57B36" w:rsidRDefault="00110F18" w:rsidP="00613CCD">
            <w:pPr>
              <w:pStyle w:val="CETBodytext"/>
              <w:ind w:right="-1"/>
              <w:rPr>
                <w:rFonts w:cs="Arial"/>
                <w:szCs w:val="18"/>
                <w:lang w:val="en-GB"/>
              </w:rPr>
            </w:pPr>
            <w:r>
              <w:rPr>
                <w:rFonts w:cs="Arial"/>
                <w:szCs w:val="18"/>
                <w:lang w:val="en-GB"/>
              </w:rPr>
              <w:t>37.56</w:t>
            </w:r>
          </w:p>
        </w:tc>
        <w:tc>
          <w:tcPr>
            <w:tcW w:w="1134" w:type="dxa"/>
            <w:shd w:val="clear" w:color="auto" w:fill="FFFFFF"/>
          </w:tcPr>
          <w:p w14:paraId="51480CC0" w14:textId="77777777" w:rsidR="00DB2848" w:rsidRPr="00B57B36" w:rsidRDefault="00DB2848" w:rsidP="00613CCD">
            <w:pPr>
              <w:pStyle w:val="CETBodytext"/>
              <w:ind w:right="-1"/>
              <w:rPr>
                <w:rFonts w:cs="Arial"/>
                <w:szCs w:val="18"/>
                <w:lang w:val="en-GB"/>
              </w:rPr>
            </w:pPr>
          </w:p>
        </w:tc>
        <w:tc>
          <w:tcPr>
            <w:tcW w:w="1134" w:type="dxa"/>
            <w:shd w:val="clear" w:color="auto" w:fill="FFFFFF"/>
          </w:tcPr>
          <w:p w14:paraId="541E0EC5" w14:textId="77777777" w:rsidR="00DB2848" w:rsidRPr="00B57B36" w:rsidRDefault="00DB2848" w:rsidP="00613CCD">
            <w:pPr>
              <w:pStyle w:val="CETBodytext"/>
              <w:ind w:right="-1"/>
              <w:rPr>
                <w:rFonts w:cs="Arial"/>
                <w:szCs w:val="18"/>
                <w:lang w:val="en-GB"/>
              </w:rPr>
            </w:pPr>
          </w:p>
        </w:tc>
      </w:tr>
    </w:tbl>
    <w:p w14:paraId="68D26B83" w14:textId="28B9A9B8" w:rsidR="00600535" w:rsidRDefault="00826C5E" w:rsidP="00600535">
      <w:pPr>
        <w:pStyle w:val="CETHeading1"/>
        <w:rPr>
          <w:lang w:val="en-GB"/>
        </w:rPr>
      </w:pPr>
      <w:r>
        <w:rPr>
          <w:lang w:val="en-GB"/>
        </w:rPr>
        <w:t>Results</w:t>
      </w:r>
    </w:p>
    <w:p w14:paraId="7FC1352A" w14:textId="340036DB" w:rsidR="00826C5E" w:rsidRDefault="00826C5E" w:rsidP="00826C5E">
      <w:pPr>
        <w:pStyle w:val="CETBodytext"/>
        <w:rPr>
          <w:lang w:val="en-GB"/>
        </w:rPr>
      </w:pPr>
      <w:r w:rsidRPr="00826C5E">
        <w:rPr>
          <w:lang w:val="en-GB"/>
        </w:rPr>
        <w:t xml:space="preserve">The </w:t>
      </w:r>
      <w:r w:rsidR="00F3075E">
        <w:rPr>
          <w:lang w:val="en-GB"/>
        </w:rPr>
        <w:t>bar chart</w:t>
      </w:r>
      <w:r w:rsidRPr="00826C5E">
        <w:rPr>
          <w:lang w:val="en-GB"/>
        </w:rPr>
        <w:t xml:space="preserve"> in </w:t>
      </w:r>
      <w:r w:rsidR="00527F6E">
        <w:rPr>
          <w:lang w:val="en-GB"/>
        </w:rPr>
        <w:t>Figure 5</w:t>
      </w:r>
      <w:r w:rsidRPr="00826C5E">
        <w:rPr>
          <w:lang w:val="en-GB"/>
        </w:rPr>
        <w:t xml:space="preserve"> summarizes the specific energy consumption</w:t>
      </w:r>
      <w:r>
        <w:rPr>
          <w:lang w:val="en-GB"/>
        </w:rPr>
        <w:t xml:space="preserve"> </w:t>
      </w:r>
      <w:r w:rsidRPr="00826C5E">
        <w:rPr>
          <w:lang w:val="en-GB"/>
        </w:rPr>
        <w:t>results of the analysed refrigeration cycles</w:t>
      </w:r>
      <w:r w:rsidR="00527F6E">
        <w:rPr>
          <w:lang w:val="en-GB"/>
        </w:rPr>
        <w:t xml:space="preserve"> presented in the previous section</w:t>
      </w:r>
      <w:r w:rsidRPr="00826C5E">
        <w:rPr>
          <w:lang w:val="en-GB"/>
        </w:rPr>
        <w:t>. The energy consumption of the inter</w:t>
      </w:r>
      <w:r w:rsidR="00527F6E">
        <w:rPr>
          <w:lang w:val="en-GB"/>
        </w:rPr>
        <w:t>-</w:t>
      </w:r>
      <w:r w:rsidRPr="00826C5E">
        <w:rPr>
          <w:lang w:val="en-GB"/>
        </w:rPr>
        <w:t>refrigerated</w:t>
      </w:r>
      <w:r>
        <w:rPr>
          <w:lang w:val="en-GB"/>
        </w:rPr>
        <w:t xml:space="preserve"> </w:t>
      </w:r>
      <w:r w:rsidRPr="00826C5E">
        <w:rPr>
          <w:lang w:val="en-GB"/>
        </w:rPr>
        <w:t>reverse nitrogen cycle</w:t>
      </w:r>
      <w:r w:rsidR="00527F6E">
        <w:rPr>
          <w:lang w:val="en-GB"/>
        </w:rPr>
        <w:t xml:space="preserve"> </w:t>
      </w:r>
      <w:r w:rsidRPr="00826C5E">
        <w:rPr>
          <w:lang w:val="en-GB"/>
        </w:rPr>
        <w:t>demonstrates a</w:t>
      </w:r>
      <w:r>
        <w:rPr>
          <w:lang w:val="en-GB"/>
        </w:rPr>
        <w:t xml:space="preserve"> </w:t>
      </w:r>
      <w:r w:rsidRPr="00826C5E">
        <w:rPr>
          <w:lang w:val="en-GB"/>
        </w:rPr>
        <w:t>reduction of approximately 50% compared to the value reported by Capra et al.</w:t>
      </w:r>
      <w:r w:rsidR="00527F6E">
        <w:rPr>
          <w:lang w:val="en-GB"/>
        </w:rPr>
        <w:t xml:space="preserve"> </w:t>
      </w:r>
      <w:r w:rsidR="00527F6E">
        <w:rPr>
          <w:lang w:val="en-GB"/>
        </w:rPr>
        <w:fldChar w:fldCharType="begin"/>
      </w:r>
      <w:r w:rsidR="00D53FE2">
        <w:rPr>
          <w:lang w:val="en-GB"/>
        </w:rPr>
        <w:instrText xml:space="preserve"> ADDIN EN.CITE &lt;EndNote&gt;&lt;Cite&gt;&lt;Author&gt;Capra&lt;/Author&gt;&lt;Year&gt;2019&lt;/Year&gt;&lt;RecNum&gt;2030&lt;/RecNum&gt;&lt;DisplayText&gt;(Capra et al., 2019)&lt;/DisplayText&gt;&lt;record&gt;&lt;rec-number&gt;2030&lt;/rec-number&gt;&lt;foreign-keys&gt;&lt;key app="EN" db-id="stz9sw5w2aavebe5dwyxrzpn9xfzftxr0ep2" timestamp="1737913088"&gt;2030&lt;/key&gt;&lt;/foreign-keys&gt;&lt;ref-type name="Journal Article"&gt;17&lt;/ref-type&gt;&lt;contributors&gt;&lt;authors&gt;&lt;author&gt;Capra, Federico&lt;/author&gt;&lt;author&gt;Magli, Francesco&lt;/author&gt;&lt;author&gt;Gatti, Manuele&lt;/author&gt;&lt;/authors&gt;&lt;/contributors&gt;&lt;titles&gt;&lt;title&gt;Biomethane liquefaction: A systematic comparative analysis of refrigeration technologies&lt;/title&gt;&lt;secondary-title&gt;Applied Thermal Engineering&lt;/secondary-title&gt;&lt;/titles&gt;&lt;periodical&gt;&lt;full-title&gt;Applied Thermal Engineering&lt;/full-title&gt;&lt;/periodical&gt;&lt;pages&gt;113815&lt;/pages&gt;&lt;volume&gt;158&lt;/volume&gt;&lt;dates&gt;&lt;year&gt;2019&lt;/year&gt;&lt;/dates&gt;&lt;isbn&gt;1359-4311&lt;/isbn&gt;&lt;urls&gt;&lt;/urls&gt;&lt;/record&gt;&lt;/Cite&gt;&lt;/EndNote&gt;</w:instrText>
      </w:r>
      <w:r w:rsidR="00527F6E">
        <w:rPr>
          <w:lang w:val="en-GB"/>
        </w:rPr>
        <w:fldChar w:fldCharType="separate"/>
      </w:r>
      <w:r w:rsidR="00D53FE2">
        <w:rPr>
          <w:noProof/>
          <w:lang w:val="en-GB"/>
        </w:rPr>
        <w:t>(Capra et al., 2019)</w:t>
      </w:r>
      <w:r w:rsidR="00527F6E">
        <w:rPr>
          <w:lang w:val="en-GB"/>
        </w:rPr>
        <w:fldChar w:fldCharType="end"/>
      </w:r>
      <w:r w:rsidR="00527F6E">
        <w:rPr>
          <w:lang w:val="en-GB"/>
        </w:rPr>
        <w:t xml:space="preserve"> </w:t>
      </w:r>
      <w:r w:rsidRPr="00826C5E">
        <w:rPr>
          <w:lang w:val="en-GB"/>
        </w:rPr>
        <w:t>for the same technology, which was noted as 19.16 kWh/</w:t>
      </w:r>
      <w:proofErr w:type="spellStart"/>
      <w:r w:rsidRPr="00826C5E">
        <w:rPr>
          <w:lang w:val="en-GB"/>
        </w:rPr>
        <w:t>kmol</w:t>
      </w:r>
      <w:proofErr w:type="spellEnd"/>
      <w:r w:rsidRPr="00826C5E">
        <w:rPr>
          <w:lang w:val="en-GB"/>
        </w:rPr>
        <w:t>. This energy saving</w:t>
      </w:r>
      <w:r>
        <w:rPr>
          <w:lang w:val="en-GB"/>
        </w:rPr>
        <w:t xml:space="preserve"> </w:t>
      </w:r>
      <w:r w:rsidRPr="00826C5E">
        <w:rPr>
          <w:lang w:val="en-GB"/>
        </w:rPr>
        <w:t>is notable and aligns well with the reduction in energy required for liquefaction</w:t>
      </w:r>
      <w:r>
        <w:rPr>
          <w:lang w:val="en-GB"/>
        </w:rPr>
        <w:t xml:space="preserve"> </w:t>
      </w:r>
      <w:r w:rsidRPr="00826C5E">
        <w:rPr>
          <w:lang w:val="en-GB"/>
        </w:rPr>
        <w:t>when comparing a conventionally upgraded gas to the Ryan-Holmes upgraded gas. The energy savings are even higher for the Claude cycle case</w:t>
      </w:r>
      <w:r w:rsidR="008E5CAA">
        <w:rPr>
          <w:lang w:val="en-GB"/>
        </w:rPr>
        <w:t>,</w:t>
      </w:r>
      <w:r w:rsidRPr="00826C5E">
        <w:rPr>
          <w:lang w:val="en-GB"/>
        </w:rPr>
        <w:t xml:space="preserve"> where Capra et al.</w:t>
      </w:r>
      <w:r w:rsidR="00527F6E">
        <w:rPr>
          <w:lang w:val="en-GB"/>
        </w:rPr>
        <w:t xml:space="preserve"> </w:t>
      </w:r>
      <w:r w:rsidR="00527F6E">
        <w:rPr>
          <w:lang w:val="en-GB"/>
        </w:rPr>
        <w:fldChar w:fldCharType="begin"/>
      </w:r>
      <w:r w:rsidR="00D53FE2">
        <w:rPr>
          <w:lang w:val="en-GB"/>
        </w:rPr>
        <w:instrText xml:space="preserve"> ADDIN EN.CITE &lt;EndNote&gt;&lt;Cite&gt;&lt;Author&gt;Capra&lt;/Author&gt;&lt;Year&gt;2019&lt;/Year&gt;&lt;RecNum&gt;2030&lt;/RecNum&gt;&lt;DisplayText&gt;(Capra et al., 2019)&lt;/DisplayText&gt;&lt;record&gt;&lt;rec-number&gt;2030&lt;/rec-number&gt;&lt;foreign-keys&gt;&lt;key app="EN" db-id="stz9sw5w2aavebe5dwyxrzpn9xfzftxr0ep2" timestamp="1737913088"&gt;2030&lt;/key&gt;&lt;/foreign-keys&gt;&lt;ref-type name="Journal Article"&gt;17&lt;/ref-type&gt;&lt;contributors&gt;&lt;authors&gt;&lt;author&gt;Capra, Federico&lt;/author&gt;&lt;author&gt;Magli, Francesco&lt;/author&gt;&lt;author&gt;Gatti, Manuele&lt;/author&gt;&lt;/authors&gt;&lt;/contributors&gt;&lt;titles&gt;&lt;title&gt;Biomethane liquefaction: A systematic comparative analysis of refrigeration technologies&lt;/title&gt;&lt;secondary-title&gt;Applied Thermal Engineering&lt;/secondary-title&gt;&lt;/titles&gt;&lt;periodical&gt;&lt;full-title&gt;Applied Thermal Engineering&lt;/full-title&gt;&lt;/periodical&gt;&lt;pages&gt;113815&lt;/pages&gt;&lt;volume&gt;158&lt;/volume&gt;&lt;dates&gt;&lt;year&gt;2019&lt;/year&gt;&lt;/dates&gt;&lt;isbn&gt;1359-4311&lt;/isbn&gt;&lt;urls&gt;&lt;/urls&gt;&lt;/record&gt;&lt;/Cite&gt;&lt;/EndNote&gt;</w:instrText>
      </w:r>
      <w:r w:rsidR="00527F6E">
        <w:rPr>
          <w:lang w:val="en-GB"/>
        </w:rPr>
        <w:fldChar w:fldCharType="separate"/>
      </w:r>
      <w:r w:rsidR="00D53FE2">
        <w:rPr>
          <w:noProof/>
          <w:lang w:val="en-GB"/>
        </w:rPr>
        <w:t>(Capra et al., 2019)</w:t>
      </w:r>
      <w:r w:rsidR="00527F6E">
        <w:rPr>
          <w:lang w:val="en-GB"/>
        </w:rPr>
        <w:fldChar w:fldCharType="end"/>
      </w:r>
      <w:r w:rsidR="00527F6E">
        <w:rPr>
          <w:lang w:val="en-GB"/>
        </w:rPr>
        <w:t xml:space="preserve"> </w:t>
      </w:r>
      <w:r w:rsidRPr="00826C5E">
        <w:rPr>
          <w:lang w:val="en-GB"/>
        </w:rPr>
        <w:t>reports a cost-optimized</w:t>
      </w:r>
      <w:r>
        <w:rPr>
          <w:lang w:val="en-GB"/>
        </w:rPr>
        <w:t xml:space="preserve"> </w:t>
      </w:r>
      <w:r w:rsidRPr="00826C5E">
        <w:rPr>
          <w:lang w:val="en-GB"/>
        </w:rPr>
        <w:t>energy consumption of 18.59 kWh/</w:t>
      </w:r>
      <w:proofErr w:type="spellStart"/>
      <w:r w:rsidRPr="00826C5E">
        <w:rPr>
          <w:lang w:val="en-GB"/>
        </w:rPr>
        <w:t>kmol</w:t>
      </w:r>
      <w:proofErr w:type="spellEnd"/>
      <w:r w:rsidRPr="00826C5E">
        <w:rPr>
          <w:lang w:val="en-GB"/>
        </w:rPr>
        <w:t>. For the dual</w:t>
      </w:r>
      <w:r w:rsidR="00667A13">
        <w:rPr>
          <w:lang w:val="en-GB"/>
        </w:rPr>
        <w:t xml:space="preserve"> </w:t>
      </w:r>
      <w:r w:rsidRPr="00826C5E">
        <w:rPr>
          <w:lang w:val="en-GB"/>
        </w:rPr>
        <w:t>pressure reverse nitrogen cycle,</w:t>
      </w:r>
      <w:r w:rsidR="00527F6E">
        <w:rPr>
          <w:lang w:val="en-GB"/>
        </w:rPr>
        <w:t xml:space="preserve"> </w:t>
      </w:r>
      <w:proofErr w:type="spellStart"/>
      <w:r w:rsidRPr="00826C5E">
        <w:rPr>
          <w:lang w:val="en-GB"/>
        </w:rPr>
        <w:t>Baccioli</w:t>
      </w:r>
      <w:proofErr w:type="spellEnd"/>
      <w:r w:rsidRPr="00826C5E">
        <w:rPr>
          <w:lang w:val="en-GB"/>
        </w:rPr>
        <w:t xml:space="preserve"> et al. </w:t>
      </w:r>
      <w:r w:rsidR="00527F6E">
        <w:rPr>
          <w:lang w:val="en-GB"/>
        </w:rPr>
        <w:fldChar w:fldCharType="begin"/>
      </w:r>
      <w:r w:rsidR="00D53FE2">
        <w:rPr>
          <w:lang w:val="en-GB"/>
        </w:rPr>
        <w:instrText xml:space="preserve"> ADDIN EN.CITE &lt;EndNote&gt;&lt;Cite&gt;&lt;Author&gt;Baccioli&lt;/Author&gt;&lt;Year&gt;2018&lt;/Year&gt;&lt;RecNum&gt;2029&lt;/RecNum&gt;&lt;DisplayText&gt;(Baccioli et al., 2018)&lt;/DisplayText&gt;&lt;record&gt;&lt;rec-number&gt;2029&lt;/rec-number&gt;&lt;foreign-keys&gt;&lt;key app="EN" db-id="stz9sw5w2aavebe5dwyxrzpn9xfzftxr0ep2" timestamp="1737912230"&gt;2029&lt;/key&gt;&lt;/foreign-keys&gt;&lt;ref-type name="Journal Article"&gt;17&lt;/ref-type&gt;&lt;contributors&gt;&lt;authors&gt;&lt;author&gt;Baccioli, A&lt;/author&gt;&lt;author&gt;Antonelli, M&lt;/author&gt;&lt;author&gt;Frigo, S&lt;/author&gt;&lt;author&gt;Desideri, U&lt;/author&gt;&lt;author&gt;Pasini, G&lt;/author&gt;&lt;/authors&gt;&lt;/contributors&gt;&lt;titles&gt;&lt;title&gt;Small scale bio-LNG plant: Comparison of different biogas upgrading techniques&lt;/title&gt;&lt;secondary-title&gt;Applied Energy&lt;/secondary-title&gt;&lt;/titles&gt;&lt;periodical&gt;&lt;full-title&gt;Applied Energy&lt;/full-title&gt;&lt;abbr-2&gt;Appl. Energ.&lt;/abbr-2&gt;&lt;/periodical&gt;&lt;pages&gt;328-335&lt;/pages&gt;&lt;volume&gt;217&lt;/volume&gt;&lt;dates&gt;&lt;year&gt;2018&lt;/year&gt;&lt;/dates&gt;&lt;isbn&gt;0306-2619&lt;/isbn&gt;&lt;urls&gt;&lt;/urls&gt;&lt;/record&gt;&lt;/Cite&gt;&lt;/EndNote&gt;</w:instrText>
      </w:r>
      <w:r w:rsidR="00527F6E">
        <w:rPr>
          <w:lang w:val="en-GB"/>
        </w:rPr>
        <w:fldChar w:fldCharType="separate"/>
      </w:r>
      <w:r w:rsidR="00D53FE2">
        <w:rPr>
          <w:noProof/>
          <w:lang w:val="en-GB"/>
        </w:rPr>
        <w:t>(Baccioli et al., 2018)</w:t>
      </w:r>
      <w:r w:rsidR="00527F6E">
        <w:rPr>
          <w:lang w:val="en-GB"/>
        </w:rPr>
        <w:fldChar w:fldCharType="end"/>
      </w:r>
      <w:r w:rsidR="00527F6E">
        <w:rPr>
          <w:lang w:val="en-GB"/>
        </w:rPr>
        <w:t xml:space="preserve"> </w:t>
      </w:r>
      <w:r w:rsidRPr="00826C5E">
        <w:rPr>
          <w:lang w:val="en-GB"/>
        </w:rPr>
        <w:t>report an energy optimized value of</w:t>
      </w:r>
      <w:r w:rsidR="00194EF5">
        <w:rPr>
          <w:lang w:val="en-GB"/>
        </w:rPr>
        <w:t xml:space="preserve">                            </w:t>
      </w:r>
      <w:r w:rsidRPr="00826C5E">
        <w:rPr>
          <w:lang w:val="en-GB"/>
        </w:rPr>
        <w:t>12.04 kWh/</w:t>
      </w:r>
      <w:proofErr w:type="spellStart"/>
      <w:r w:rsidRPr="00826C5E">
        <w:rPr>
          <w:lang w:val="en-GB"/>
        </w:rPr>
        <w:t>kmol</w:t>
      </w:r>
      <w:r w:rsidRPr="00527F6E">
        <w:rPr>
          <w:vertAlign w:val="subscript"/>
          <w:lang w:val="en-GB"/>
        </w:rPr>
        <w:t>LBM</w:t>
      </w:r>
      <w:proofErr w:type="spellEnd"/>
      <w:r w:rsidRPr="00826C5E">
        <w:rPr>
          <w:lang w:val="en-GB"/>
        </w:rPr>
        <w:t xml:space="preserve"> for</w:t>
      </w:r>
      <w:r>
        <w:rPr>
          <w:lang w:val="en-GB"/>
        </w:rPr>
        <w:t xml:space="preserve"> </w:t>
      </w:r>
      <w:r w:rsidRPr="00826C5E">
        <w:rPr>
          <w:lang w:val="en-GB"/>
        </w:rPr>
        <w:t>the liquefaction of a conventionally upgraded BM, whereas the result obtained in this</w:t>
      </w:r>
      <w:r>
        <w:rPr>
          <w:lang w:val="en-GB"/>
        </w:rPr>
        <w:t xml:space="preserve"> </w:t>
      </w:r>
      <w:r w:rsidRPr="00826C5E">
        <w:rPr>
          <w:lang w:val="en-GB"/>
        </w:rPr>
        <w:t>work is 7.36 kWh/</w:t>
      </w:r>
      <w:proofErr w:type="spellStart"/>
      <w:r w:rsidRPr="00826C5E">
        <w:rPr>
          <w:lang w:val="en-GB"/>
        </w:rPr>
        <w:t>kmol</w:t>
      </w:r>
      <w:r w:rsidRPr="00527F6E">
        <w:rPr>
          <w:vertAlign w:val="subscript"/>
          <w:lang w:val="en-GB"/>
        </w:rPr>
        <w:t>LBM</w:t>
      </w:r>
      <w:proofErr w:type="spellEnd"/>
      <w:r w:rsidRPr="00826C5E">
        <w:rPr>
          <w:lang w:val="en-GB"/>
        </w:rPr>
        <w:t>. Therefore, the obtained energy saving is approximately</w:t>
      </w:r>
      <w:r>
        <w:rPr>
          <w:lang w:val="en-GB"/>
        </w:rPr>
        <w:t xml:space="preserve"> </w:t>
      </w:r>
      <w:r w:rsidRPr="00826C5E">
        <w:rPr>
          <w:lang w:val="en-GB"/>
        </w:rPr>
        <w:t>39%.</w:t>
      </w:r>
      <w:r>
        <w:rPr>
          <w:lang w:val="en-GB"/>
        </w:rPr>
        <w:t xml:space="preserve"> </w:t>
      </w:r>
      <w:r w:rsidRPr="00826C5E">
        <w:rPr>
          <w:lang w:val="en-GB"/>
        </w:rPr>
        <w:t>This is due to the cooling effect</w:t>
      </w:r>
      <w:r>
        <w:rPr>
          <w:lang w:val="en-GB"/>
        </w:rPr>
        <w:t xml:space="preserve"> </w:t>
      </w:r>
      <w:r w:rsidRPr="00826C5E">
        <w:rPr>
          <w:lang w:val="en-GB"/>
        </w:rPr>
        <w:t>that can be obtained without the requirement of any further mechanical work.</w:t>
      </w:r>
    </w:p>
    <w:p w14:paraId="34FC5E31" w14:textId="6853A629" w:rsidR="00826C5E" w:rsidRDefault="00220B1C" w:rsidP="00826C5E">
      <w:pPr>
        <w:pStyle w:val="CETBodytext"/>
        <w:rPr>
          <w:lang w:val="en-GB"/>
        </w:rPr>
      </w:pPr>
      <w:r w:rsidRPr="00220B1C">
        <w:rPr>
          <w:noProof/>
        </w:rPr>
        <w:lastRenderedPageBreak/>
        <w:drawing>
          <wp:inline distT="0" distB="0" distL="0" distR="0" wp14:anchorId="34511471" wp14:editId="68597FCE">
            <wp:extent cx="4114800" cy="2469600"/>
            <wp:effectExtent l="0" t="0" r="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469600"/>
                    </a:xfrm>
                    <a:prstGeom prst="rect">
                      <a:avLst/>
                    </a:prstGeom>
                    <a:noFill/>
                    <a:ln>
                      <a:noFill/>
                    </a:ln>
                  </pic:spPr>
                </pic:pic>
              </a:graphicData>
            </a:graphic>
          </wp:inline>
        </w:drawing>
      </w:r>
    </w:p>
    <w:p w14:paraId="16E8FA35" w14:textId="3AB944FC" w:rsidR="00826C5E" w:rsidRPr="00BD077D" w:rsidRDefault="00826C5E" w:rsidP="00826C5E">
      <w:pPr>
        <w:pStyle w:val="CETCaption"/>
      </w:pPr>
      <w:r w:rsidRPr="00BD077D">
        <w:rPr>
          <w:rStyle w:val="CETCaptionCarattere"/>
          <w:i/>
        </w:rPr>
        <w:t xml:space="preserve">Figure </w:t>
      </w:r>
      <w:r w:rsidR="00527F6E">
        <w:rPr>
          <w:rStyle w:val="CETCaptionCarattere"/>
          <w:i/>
        </w:rPr>
        <w:t>5</w:t>
      </w:r>
      <w:r w:rsidRPr="00BD077D">
        <w:rPr>
          <w:rStyle w:val="CETCaptionCarattere"/>
          <w:i/>
        </w:rPr>
        <w:t xml:space="preserve">: </w:t>
      </w:r>
      <w:r w:rsidRPr="00826C5E">
        <w:rPr>
          <w:rStyle w:val="CETCaptionCarattere"/>
          <w:i/>
        </w:rPr>
        <w:t xml:space="preserve">Specific energy consumption per </w:t>
      </w:r>
      <w:proofErr w:type="spellStart"/>
      <w:r w:rsidRPr="00826C5E">
        <w:rPr>
          <w:rStyle w:val="CETCaptionCarattere"/>
          <w:i/>
        </w:rPr>
        <w:t>kmol</w:t>
      </w:r>
      <w:proofErr w:type="spellEnd"/>
      <w:r w:rsidRPr="00826C5E">
        <w:rPr>
          <w:rStyle w:val="CETCaptionCarattere"/>
          <w:i/>
        </w:rPr>
        <w:t xml:space="preserve"> of LBM for all the </w:t>
      </w:r>
      <w:proofErr w:type="spellStart"/>
      <w:r w:rsidRPr="00826C5E">
        <w:rPr>
          <w:rStyle w:val="CETCaptionCarattere"/>
          <w:i/>
        </w:rPr>
        <w:t>analyzed</w:t>
      </w:r>
      <w:proofErr w:type="spellEnd"/>
      <w:r w:rsidRPr="00826C5E">
        <w:rPr>
          <w:rStyle w:val="CETCaptionCarattere"/>
          <w:i/>
        </w:rPr>
        <w:t xml:space="preserve"> refrigeration</w:t>
      </w:r>
      <w:r>
        <w:rPr>
          <w:rStyle w:val="CETCaptionCarattere"/>
          <w:i/>
        </w:rPr>
        <w:t xml:space="preserve"> </w:t>
      </w:r>
      <w:r w:rsidRPr="00826C5E">
        <w:rPr>
          <w:rStyle w:val="CETCaptionCarattere"/>
          <w:i/>
        </w:rPr>
        <w:t>cycles</w:t>
      </w:r>
    </w:p>
    <w:p w14:paraId="6F2464BA" w14:textId="77777777" w:rsidR="00826C5E" w:rsidRPr="00B57B36" w:rsidRDefault="00826C5E" w:rsidP="00826C5E">
      <w:pPr>
        <w:pStyle w:val="CETHeading1"/>
        <w:rPr>
          <w:lang w:val="en-GB"/>
        </w:rPr>
      </w:pPr>
      <w:r w:rsidRPr="00B57B36">
        <w:rPr>
          <w:lang w:val="en-GB"/>
        </w:rPr>
        <w:t>Conclusions</w:t>
      </w:r>
    </w:p>
    <w:p w14:paraId="50E29729" w14:textId="669C0227" w:rsidR="00E65ABF" w:rsidRDefault="00E65ABF" w:rsidP="00E65ABF">
      <w:pPr>
        <w:pStyle w:val="CETBodytext"/>
        <w:rPr>
          <w:lang w:val="en-GB"/>
        </w:rPr>
      </w:pPr>
      <w:r w:rsidRPr="00E65ABF">
        <w:rPr>
          <w:lang w:val="en-GB"/>
        </w:rPr>
        <w:t>The technologies available for liquefaction of</w:t>
      </w:r>
      <w:r>
        <w:rPr>
          <w:lang w:val="en-GB"/>
        </w:rPr>
        <w:t xml:space="preserve"> </w:t>
      </w:r>
      <w:r w:rsidRPr="00E65ABF">
        <w:rPr>
          <w:lang w:val="en-GB"/>
        </w:rPr>
        <w:t xml:space="preserve">biomethane </w:t>
      </w:r>
      <w:r>
        <w:rPr>
          <w:lang w:val="en-GB"/>
        </w:rPr>
        <w:t xml:space="preserve">are typically optimized considering the need for treating a gas stream </w:t>
      </w:r>
      <w:r w:rsidR="00937267">
        <w:rPr>
          <w:lang w:val="en-GB"/>
        </w:rPr>
        <w:t>that</w:t>
      </w:r>
      <w:r>
        <w:rPr>
          <w:lang w:val="en-GB"/>
        </w:rPr>
        <w:t xml:space="preserve"> has undergone upgrading by conventional processes based on chemical absorption. The increasing interest in low-temperature/cryogenic technologies for biogas upgrading requires to optimize liquefaction technologies in order to treat a gas stream available at lower temperatures. This work has focused on this optimization considering different refrigeration</w:t>
      </w:r>
      <w:r w:rsidRPr="00E65ABF">
        <w:rPr>
          <w:lang w:val="en-GB"/>
        </w:rPr>
        <w:t xml:space="preserve"> cycles mainly based on </w:t>
      </w:r>
      <w:r>
        <w:rPr>
          <w:lang w:val="en-GB"/>
        </w:rPr>
        <w:t xml:space="preserve">nitrogen </w:t>
      </w:r>
      <w:r w:rsidRPr="00E65ABF">
        <w:rPr>
          <w:lang w:val="en-GB"/>
        </w:rPr>
        <w:t>expansion</w:t>
      </w:r>
      <w:r>
        <w:rPr>
          <w:lang w:val="en-GB"/>
        </w:rPr>
        <w:t xml:space="preserve"> </w:t>
      </w:r>
      <w:r w:rsidRPr="00E65ABF">
        <w:rPr>
          <w:lang w:val="en-GB"/>
        </w:rPr>
        <w:t>and on the Claude cycle</w:t>
      </w:r>
      <w:r>
        <w:rPr>
          <w:lang w:val="en-GB"/>
        </w:rPr>
        <w:t>. Their liquefaction duty has been minimized by means of the Genetic Algorithm. As a result, t</w:t>
      </w:r>
      <w:r w:rsidRPr="00503264">
        <w:rPr>
          <w:lang w:val="en-GB"/>
        </w:rPr>
        <w:t>he less energy-demanding liquefaction schemes have turned out to be the dual pressure reverse nitrogen cycle and the Claude cycle, which are characterized by an energy consumption of 7.36 kWh/</w:t>
      </w:r>
      <w:proofErr w:type="spellStart"/>
      <w:r w:rsidRPr="00503264">
        <w:rPr>
          <w:lang w:val="en-GB"/>
        </w:rPr>
        <w:t>kmol</w:t>
      </w:r>
      <w:r w:rsidRPr="00503264">
        <w:rPr>
          <w:vertAlign w:val="subscript"/>
          <w:lang w:val="en-GB"/>
        </w:rPr>
        <w:t>LBM</w:t>
      </w:r>
      <w:proofErr w:type="spellEnd"/>
      <w:r w:rsidRPr="00503264">
        <w:rPr>
          <w:lang w:val="en-GB"/>
        </w:rPr>
        <w:t xml:space="preserve"> and </w:t>
      </w:r>
      <w:r w:rsidR="0034587B">
        <w:rPr>
          <w:lang w:val="en-GB"/>
        </w:rPr>
        <w:t xml:space="preserve">                    </w:t>
      </w:r>
      <w:bookmarkStart w:id="1" w:name="_GoBack"/>
      <w:bookmarkEnd w:id="1"/>
      <w:r w:rsidRPr="00503264">
        <w:rPr>
          <w:lang w:val="en-GB"/>
        </w:rPr>
        <w:t>7.18 kWh/</w:t>
      </w:r>
      <w:proofErr w:type="spellStart"/>
      <w:r w:rsidRPr="00503264">
        <w:rPr>
          <w:lang w:val="en-GB"/>
        </w:rPr>
        <w:t>kmol</w:t>
      </w:r>
      <w:r w:rsidRPr="00503264">
        <w:rPr>
          <w:vertAlign w:val="subscript"/>
          <w:lang w:val="en-GB"/>
        </w:rPr>
        <w:t>LBM</w:t>
      </w:r>
      <w:proofErr w:type="spellEnd"/>
      <w:r w:rsidRPr="00503264">
        <w:rPr>
          <w:lang w:val="en-GB"/>
        </w:rPr>
        <w:t>, respec</w:t>
      </w:r>
      <w:r w:rsidRPr="00FB0999">
        <w:rPr>
          <w:lang w:val="en-GB"/>
        </w:rPr>
        <w:t>tively.</w:t>
      </w:r>
      <w:r w:rsidR="00BD05E9" w:rsidRPr="00FB0999">
        <w:rPr>
          <w:lang w:val="en-GB"/>
        </w:rPr>
        <w:t xml:space="preserve"> In a future work, these liquefaction processes will be integrated with the upgrading section in order to design and optimize a refrigeration process capable of supplying not only the cooling duty necessary for </w:t>
      </w:r>
      <w:r w:rsidR="00190FF3" w:rsidRPr="00FB0999">
        <w:rPr>
          <w:lang w:val="en-GB"/>
        </w:rPr>
        <w:t>b</w:t>
      </w:r>
      <w:r w:rsidR="00BD05E9" w:rsidRPr="00FB0999">
        <w:rPr>
          <w:lang w:val="en-GB"/>
        </w:rPr>
        <w:t>iomethane liquefaction but also the cooling dut</w:t>
      </w:r>
      <w:r w:rsidR="00FB0999">
        <w:rPr>
          <w:lang w:val="en-GB"/>
        </w:rPr>
        <w:t>y</w:t>
      </w:r>
      <w:r w:rsidR="00BD05E9" w:rsidRPr="00FB0999">
        <w:rPr>
          <w:lang w:val="en-GB"/>
        </w:rPr>
        <w:t xml:space="preserve"> required by the upgrading section.</w:t>
      </w:r>
    </w:p>
    <w:p w14:paraId="4F1327F8" w14:textId="77777777" w:rsidR="00600535" w:rsidRPr="00B57B36" w:rsidRDefault="00600535" w:rsidP="00600535">
      <w:pPr>
        <w:pStyle w:val="CETReference"/>
      </w:pPr>
      <w:r w:rsidRPr="00B57B36">
        <w:t>References</w:t>
      </w:r>
    </w:p>
    <w:p w14:paraId="4500C96D" w14:textId="77777777" w:rsidR="00933C93" w:rsidRPr="00A42514" w:rsidRDefault="00DC38B3" w:rsidP="00A42514">
      <w:pPr>
        <w:pStyle w:val="EndNoteBibliography"/>
        <w:ind w:left="284" w:hanging="284"/>
        <w:rPr>
          <w:sz w:val="18"/>
          <w:szCs w:val="18"/>
        </w:rPr>
      </w:pPr>
      <w:r w:rsidRPr="00A42514">
        <w:rPr>
          <w:sz w:val="18"/>
          <w:szCs w:val="18"/>
          <w:highlight w:val="yellow"/>
        </w:rPr>
        <w:fldChar w:fldCharType="begin"/>
      </w:r>
      <w:r w:rsidRPr="00A42514">
        <w:rPr>
          <w:sz w:val="18"/>
          <w:szCs w:val="18"/>
          <w:highlight w:val="yellow"/>
        </w:rPr>
        <w:instrText xml:space="preserve"> ADDIN EN.REFLIST </w:instrText>
      </w:r>
      <w:r w:rsidRPr="00A42514">
        <w:rPr>
          <w:sz w:val="18"/>
          <w:szCs w:val="18"/>
          <w:highlight w:val="yellow"/>
        </w:rPr>
        <w:fldChar w:fldCharType="separate"/>
      </w:r>
      <w:r w:rsidR="00933C93" w:rsidRPr="00A42514">
        <w:rPr>
          <w:sz w:val="18"/>
          <w:szCs w:val="18"/>
        </w:rPr>
        <w:t>Abdelhamid M., Ghallab A., Ettouney R., El-Rifai M., 2017, Genetic Algorithm Optimization of a Small Scale Natural Gas Liquefaction Process, International Journal of Chemical and Molecular Engineering, 11, 574-578.</w:t>
      </w:r>
    </w:p>
    <w:p w14:paraId="67B0A689" w14:textId="77777777" w:rsidR="00933C93" w:rsidRPr="00A42514" w:rsidRDefault="00933C93" w:rsidP="00A42514">
      <w:pPr>
        <w:pStyle w:val="EndNoteBibliography"/>
        <w:ind w:left="284" w:hanging="284"/>
        <w:rPr>
          <w:sz w:val="18"/>
          <w:szCs w:val="18"/>
        </w:rPr>
      </w:pPr>
      <w:r w:rsidRPr="00A42514">
        <w:rPr>
          <w:sz w:val="18"/>
          <w:szCs w:val="18"/>
        </w:rPr>
        <w:t>AspenTech, 2019, Aspen HYSYS</w:t>
      </w:r>
      <w:r w:rsidRPr="00A42514">
        <w:rPr>
          <w:sz w:val="18"/>
          <w:szCs w:val="18"/>
          <w:vertAlign w:val="superscript"/>
        </w:rPr>
        <w:t>®</w:t>
      </w:r>
      <w:r w:rsidRPr="00A42514">
        <w:rPr>
          <w:sz w:val="18"/>
          <w:szCs w:val="18"/>
        </w:rPr>
        <w:t>, Burlington (MA), United States.</w:t>
      </w:r>
    </w:p>
    <w:p w14:paraId="1C3DAD74" w14:textId="77777777" w:rsidR="00933C93" w:rsidRPr="00A42514" w:rsidRDefault="00933C93" w:rsidP="00A42514">
      <w:pPr>
        <w:pStyle w:val="EndNoteBibliography"/>
        <w:ind w:left="284" w:hanging="284"/>
        <w:rPr>
          <w:sz w:val="18"/>
          <w:szCs w:val="18"/>
        </w:rPr>
      </w:pPr>
      <w:r w:rsidRPr="00A42514">
        <w:rPr>
          <w:sz w:val="18"/>
          <w:szCs w:val="18"/>
        </w:rPr>
        <w:t>Baccioli A., Antonelli M., Frigo S., Desideri U., Pasini G., 2018, Small scale bio-LNG plant: Comparison of different biogas upgrading techniques, Applied Energy, 217, 328-335.</w:t>
      </w:r>
    </w:p>
    <w:p w14:paraId="628E70FE" w14:textId="77777777" w:rsidR="00933C93" w:rsidRPr="00A42514" w:rsidRDefault="00933C93" w:rsidP="00A42514">
      <w:pPr>
        <w:pStyle w:val="EndNoteBibliography"/>
        <w:ind w:left="284" w:hanging="284"/>
        <w:rPr>
          <w:sz w:val="18"/>
          <w:szCs w:val="18"/>
        </w:rPr>
      </w:pPr>
      <w:r w:rsidRPr="00A42514">
        <w:rPr>
          <w:sz w:val="18"/>
          <w:szCs w:val="18"/>
        </w:rPr>
        <w:t>Capra F., Magli F., Gatti M., 2019, Biomethane liquefaction: A systematic comparative analysis of refrigeration technologies, Applied Thermal Engineering, 158, 113815.</w:t>
      </w:r>
    </w:p>
    <w:p w14:paraId="4D714DE9" w14:textId="77777777" w:rsidR="00933C93" w:rsidRPr="00A42514" w:rsidRDefault="00933C93" w:rsidP="00A42514">
      <w:pPr>
        <w:pStyle w:val="EndNoteBibliography"/>
        <w:ind w:left="284" w:hanging="284"/>
        <w:rPr>
          <w:sz w:val="18"/>
          <w:szCs w:val="18"/>
        </w:rPr>
      </w:pPr>
      <w:r w:rsidRPr="00A42514">
        <w:rPr>
          <w:sz w:val="18"/>
          <w:szCs w:val="18"/>
        </w:rPr>
        <w:t>De Guido G., Pellegrini L.A., 2019, Study of Liquefied Natural Gas production Cycles for Novel Low-Temperature Natural Gas Purification Processes, Chemical Engineering Transactions, 74, 865-870.</w:t>
      </w:r>
    </w:p>
    <w:p w14:paraId="09077684" w14:textId="77777777" w:rsidR="00933C93" w:rsidRPr="00A42514" w:rsidRDefault="00933C93" w:rsidP="00A42514">
      <w:pPr>
        <w:pStyle w:val="EndNoteBibliography"/>
        <w:ind w:left="284" w:hanging="284"/>
        <w:rPr>
          <w:sz w:val="18"/>
          <w:szCs w:val="18"/>
        </w:rPr>
      </w:pPr>
      <w:r w:rsidRPr="00A42514">
        <w:rPr>
          <w:sz w:val="18"/>
          <w:szCs w:val="18"/>
        </w:rPr>
        <w:t>De Guido G., Spatolisano E., 2021, Simultaneous Multiphase Flash and Stability Analysis Calculations Including Solid CO</w:t>
      </w:r>
      <w:r w:rsidRPr="00A42514">
        <w:rPr>
          <w:sz w:val="18"/>
          <w:szCs w:val="18"/>
          <w:vertAlign w:val="subscript"/>
        </w:rPr>
        <w:t>2</w:t>
      </w:r>
      <w:r w:rsidRPr="00A42514">
        <w:rPr>
          <w:sz w:val="18"/>
          <w:szCs w:val="18"/>
        </w:rPr>
        <w:t xml:space="preserve"> for CO</w:t>
      </w:r>
      <w:r w:rsidRPr="00A42514">
        <w:rPr>
          <w:sz w:val="18"/>
          <w:szCs w:val="18"/>
          <w:vertAlign w:val="subscript"/>
        </w:rPr>
        <w:t>2</w:t>
      </w:r>
      <w:r w:rsidRPr="00A42514">
        <w:rPr>
          <w:sz w:val="18"/>
          <w:szCs w:val="18"/>
        </w:rPr>
        <w:t>–CH</w:t>
      </w:r>
      <w:r w:rsidRPr="00A42514">
        <w:rPr>
          <w:sz w:val="18"/>
          <w:szCs w:val="18"/>
          <w:vertAlign w:val="subscript"/>
        </w:rPr>
        <w:t>4</w:t>
      </w:r>
      <w:r w:rsidRPr="00A42514">
        <w:rPr>
          <w:sz w:val="18"/>
          <w:szCs w:val="18"/>
        </w:rPr>
        <w:t>, CO</w:t>
      </w:r>
      <w:r w:rsidRPr="00A42514">
        <w:rPr>
          <w:sz w:val="18"/>
          <w:szCs w:val="18"/>
          <w:vertAlign w:val="subscript"/>
        </w:rPr>
        <w:t>2</w:t>
      </w:r>
      <w:r w:rsidRPr="00A42514">
        <w:rPr>
          <w:sz w:val="18"/>
          <w:szCs w:val="18"/>
        </w:rPr>
        <w:t>–CH</w:t>
      </w:r>
      <w:r w:rsidRPr="00A42514">
        <w:rPr>
          <w:sz w:val="18"/>
          <w:szCs w:val="18"/>
          <w:vertAlign w:val="subscript"/>
        </w:rPr>
        <w:t>4</w:t>
      </w:r>
      <w:r w:rsidRPr="00A42514">
        <w:rPr>
          <w:sz w:val="18"/>
          <w:szCs w:val="18"/>
        </w:rPr>
        <w:t>–N</w:t>
      </w:r>
      <w:r w:rsidRPr="00A42514">
        <w:rPr>
          <w:sz w:val="18"/>
          <w:szCs w:val="18"/>
          <w:vertAlign w:val="subscript"/>
        </w:rPr>
        <w:t>2</w:t>
      </w:r>
      <w:r w:rsidRPr="00A42514">
        <w:rPr>
          <w:sz w:val="18"/>
          <w:szCs w:val="18"/>
        </w:rPr>
        <w:t>, and CO</w:t>
      </w:r>
      <w:r w:rsidRPr="00A42514">
        <w:rPr>
          <w:sz w:val="18"/>
          <w:szCs w:val="18"/>
          <w:vertAlign w:val="subscript"/>
        </w:rPr>
        <w:t>2</w:t>
      </w:r>
      <w:r w:rsidRPr="00A42514">
        <w:rPr>
          <w:sz w:val="18"/>
          <w:szCs w:val="18"/>
        </w:rPr>
        <w:t>–CH</w:t>
      </w:r>
      <w:r w:rsidRPr="00A42514">
        <w:rPr>
          <w:sz w:val="18"/>
          <w:szCs w:val="18"/>
          <w:vertAlign w:val="subscript"/>
        </w:rPr>
        <w:t>4</w:t>
      </w:r>
      <w:r w:rsidRPr="00A42514">
        <w:rPr>
          <w:sz w:val="18"/>
          <w:szCs w:val="18"/>
        </w:rPr>
        <w:t>–N</w:t>
      </w:r>
      <w:r w:rsidRPr="00A42514">
        <w:rPr>
          <w:sz w:val="18"/>
          <w:szCs w:val="18"/>
          <w:vertAlign w:val="subscript"/>
        </w:rPr>
        <w:t>2</w:t>
      </w:r>
      <w:r w:rsidRPr="00A42514">
        <w:rPr>
          <w:sz w:val="18"/>
          <w:szCs w:val="18"/>
        </w:rPr>
        <w:t>–O</w:t>
      </w:r>
      <w:r w:rsidRPr="00A42514">
        <w:rPr>
          <w:sz w:val="18"/>
          <w:szCs w:val="18"/>
          <w:vertAlign w:val="subscript"/>
        </w:rPr>
        <w:t>2</w:t>
      </w:r>
      <w:r w:rsidRPr="00A42514">
        <w:rPr>
          <w:sz w:val="18"/>
          <w:szCs w:val="18"/>
        </w:rPr>
        <w:t xml:space="preserve"> Mixtures, Journal of Chemical &amp; Engineering Data, 66, 4132–4147.</w:t>
      </w:r>
    </w:p>
    <w:p w14:paraId="6D7B87BB" w14:textId="77777777" w:rsidR="00933C93" w:rsidRPr="00A42514" w:rsidRDefault="00933C93" w:rsidP="00A42514">
      <w:pPr>
        <w:pStyle w:val="EndNoteBibliography"/>
        <w:ind w:left="284" w:hanging="284"/>
        <w:rPr>
          <w:sz w:val="18"/>
          <w:szCs w:val="18"/>
        </w:rPr>
      </w:pPr>
      <w:r w:rsidRPr="00A42514">
        <w:rPr>
          <w:sz w:val="18"/>
          <w:szCs w:val="18"/>
        </w:rPr>
        <w:t>Mitchell M., 1998. An introduction to genetic algorithms. MIT press.</w:t>
      </w:r>
    </w:p>
    <w:p w14:paraId="161143E9" w14:textId="77777777" w:rsidR="00933C93" w:rsidRPr="00A42514" w:rsidRDefault="00933C93" w:rsidP="00A42514">
      <w:pPr>
        <w:pStyle w:val="EndNoteBibliography"/>
        <w:ind w:left="284" w:hanging="284"/>
        <w:rPr>
          <w:sz w:val="18"/>
          <w:szCs w:val="18"/>
        </w:rPr>
      </w:pPr>
      <w:r w:rsidRPr="00A42514">
        <w:rPr>
          <w:sz w:val="18"/>
          <w:szCs w:val="18"/>
        </w:rPr>
        <w:t>Moioli S., De Guido G., Pellegrini L.A., Fasola E., Riva E.R., Alberti D., Carrara A., 2024, Techno-economic assessment of the CO</w:t>
      </w:r>
      <w:r w:rsidRPr="00A42514">
        <w:rPr>
          <w:sz w:val="18"/>
          <w:szCs w:val="18"/>
          <w:vertAlign w:val="subscript"/>
        </w:rPr>
        <w:t>2</w:t>
      </w:r>
      <w:r w:rsidRPr="00A42514">
        <w:rPr>
          <w:sz w:val="18"/>
          <w:szCs w:val="18"/>
        </w:rPr>
        <w:t xml:space="preserve"> value chain with CCUS applied to a waste-to-energy Italian plant, Chemical Engineering Science, 287, 119717.</w:t>
      </w:r>
    </w:p>
    <w:p w14:paraId="1AE502CD" w14:textId="77777777" w:rsidR="00933C93" w:rsidRPr="00A42514" w:rsidRDefault="00933C93" w:rsidP="00A42514">
      <w:pPr>
        <w:pStyle w:val="EndNoteBibliography"/>
        <w:ind w:left="284" w:hanging="284"/>
        <w:rPr>
          <w:sz w:val="18"/>
          <w:szCs w:val="18"/>
        </w:rPr>
      </w:pPr>
      <w:r w:rsidRPr="00A42514">
        <w:rPr>
          <w:sz w:val="18"/>
          <w:szCs w:val="18"/>
        </w:rPr>
        <w:t>Pellegrini L.A., De Guido G., Langé S., 2018, Biogas to liquefied biomethane via cryogenic upgrading technologies, Renewable Energy, 124, 75-83.</w:t>
      </w:r>
    </w:p>
    <w:p w14:paraId="2E9B3B03" w14:textId="77777777" w:rsidR="00933C93" w:rsidRPr="00A42514" w:rsidRDefault="00933C93" w:rsidP="00A42514">
      <w:pPr>
        <w:pStyle w:val="EndNoteBibliography"/>
        <w:ind w:left="284" w:hanging="284"/>
        <w:rPr>
          <w:sz w:val="18"/>
          <w:szCs w:val="18"/>
        </w:rPr>
      </w:pPr>
      <w:r w:rsidRPr="00A42514">
        <w:rPr>
          <w:sz w:val="18"/>
          <w:szCs w:val="18"/>
        </w:rPr>
        <w:t>Spatolisano E., Pellegrini L.A., 2021, CO</w:t>
      </w:r>
      <w:r w:rsidRPr="00A42514">
        <w:rPr>
          <w:sz w:val="18"/>
          <w:szCs w:val="18"/>
          <w:vertAlign w:val="subscript"/>
        </w:rPr>
        <w:t>2</w:t>
      </w:r>
      <w:r w:rsidRPr="00A42514">
        <w:rPr>
          <w:sz w:val="18"/>
          <w:szCs w:val="18"/>
        </w:rPr>
        <w:t>-Tolerant Cryogenic Nitrogen Rejection Schemes: Analysis of Their Performances, Industrial &amp; engineering chemistry research, 60, 4420-4429.</w:t>
      </w:r>
    </w:p>
    <w:p w14:paraId="19C4FC68" w14:textId="1A32EC2D" w:rsidR="004628D2" w:rsidRPr="00D53FE2" w:rsidRDefault="00DC38B3" w:rsidP="00A42514">
      <w:pPr>
        <w:pStyle w:val="CETReferencetext"/>
      </w:pPr>
      <w:r w:rsidRPr="00A42514">
        <w:rPr>
          <w:b/>
          <w:szCs w:val="18"/>
          <w:highlight w:val="yellow"/>
        </w:rPr>
        <w:fldChar w:fldCharType="end"/>
      </w:r>
    </w:p>
    <w:sectPr w:rsidR="004628D2" w:rsidRPr="00D53FE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222855" w14:textId="77777777" w:rsidR="00C63523" w:rsidRDefault="00C63523" w:rsidP="004F5E36">
      <w:r>
        <w:separator/>
      </w:r>
    </w:p>
  </w:endnote>
  <w:endnote w:type="continuationSeparator" w:id="0">
    <w:p w14:paraId="056A3B00" w14:textId="77777777" w:rsidR="00C63523" w:rsidRDefault="00C6352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608E" w14:textId="77777777" w:rsidR="00C63523" w:rsidRDefault="00C63523" w:rsidP="004F5E36">
      <w:r>
        <w:separator/>
      </w:r>
    </w:p>
  </w:footnote>
  <w:footnote w:type="continuationSeparator" w:id="0">
    <w:p w14:paraId="430A3163" w14:textId="77777777" w:rsidR="00C63523" w:rsidRDefault="00C63523"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1&lt;/Enabled&gt;&lt;ScanUnformatted&gt;1&lt;/ScanUnformatted&gt;&lt;ScanChanges&gt;1&lt;/ScanChanges&gt;&lt;Suspended&gt;0&lt;/Suspended&gt;&lt;/ENInstantFormat&gt;"/>
    <w:docVar w:name="EN.Layout" w:val="&lt;ENLayout&gt;&lt;Style&gt;CET-Chemical Engineering Transactions&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z9sw5w2aavebe5dwyxrzpn9xfzftxr0ep2&quot;&gt;My EndNote Library&lt;record-ids&gt;&lt;item&gt;1011&lt;/item&gt;&lt;item&gt;1299&lt;/item&gt;&lt;item&gt;1340&lt;/item&gt;&lt;item&gt;1451&lt;/item&gt;&lt;item&gt;2027&lt;/item&gt;&lt;item&gt;2028&lt;/item&gt;&lt;item&gt;2029&lt;/item&gt;&lt;item&gt;2030&lt;/item&gt;&lt;item&gt;2031&lt;/item&gt;&lt;item&gt;2032&lt;/item&gt;&lt;/record-ids&gt;&lt;/item&gt;&lt;/Libraries&gt;"/>
  </w:docVars>
  <w:rsids>
    <w:rsidRoot w:val="000E414A"/>
    <w:rsid w:val="000027C0"/>
    <w:rsid w:val="00004065"/>
    <w:rsid w:val="000052FB"/>
    <w:rsid w:val="00005A19"/>
    <w:rsid w:val="00006B7C"/>
    <w:rsid w:val="000117CB"/>
    <w:rsid w:val="00023767"/>
    <w:rsid w:val="0003148D"/>
    <w:rsid w:val="00031EEC"/>
    <w:rsid w:val="00051566"/>
    <w:rsid w:val="000562A9"/>
    <w:rsid w:val="00062A9A"/>
    <w:rsid w:val="00065058"/>
    <w:rsid w:val="00083E86"/>
    <w:rsid w:val="00086C39"/>
    <w:rsid w:val="000A03B2"/>
    <w:rsid w:val="000B2074"/>
    <w:rsid w:val="000B6233"/>
    <w:rsid w:val="000D0268"/>
    <w:rsid w:val="000D34BE"/>
    <w:rsid w:val="000D6EB2"/>
    <w:rsid w:val="000E0B3C"/>
    <w:rsid w:val="000E102F"/>
    <w:rsid w:val="000E36F1"/>
    <w:rsid w:val="000E3A73"/>
    <w:rsid w:val="000E414A"/>
    <w:rsid w:val="000E75FD"/>
    <w:rsid w:val="000F093C"/>
    <w:rsid w:val="000F787B"/>
    <w:rsid w:val="00110F18"/>
    <w:rsid w:val="0012091F"/>
    <w:rsid w:val="00126BC2"/>
    <w:rsid w:val="001308B6"/>
    <w:rsid w:val="0013121F"/>
    <w:rsid w:val="00131FE6"/>
    <w:rsid w:val="0013263F"/>
    <w:rsid w:val="00132E13"/>
    <w:rsid w:val="001331DF"/>
    <w:rsid w:val="00134DE4"/>
    <w:rsid w:val="00134EBD"/>
    <w:rsid w:val="0014034D"/>
    <w:rsid w:val="00140FE3"/>
    <w:rsid w:val="00144D16"/>
    <w:rsid w:val="00150E59"/>
    <w:rsid w:val="00152DE3"/>
    <w:rsid w:val="0015373C"/>
    <w:rsid w:val="0016145B"/>
    <w:rsid w:val="00164CF9"/>
    <w:rsid w:val="0016668E"/>
    <w:rsid w:val="001667A6"/>
    <w:rsid w:val="0018171E"/>
    <w:rsid w:val="00184AD6"/>
    <w:rsid w:val="00187DD6"/>
    <w:rsid w:val="00190FF3"/>
    <w:rsid w:val="00194EF5"/>
    <w:rsid w:val="001A4AF7"/>
    <w:rsid w:val="001A7C3F"/>
    <w:rsid w:val="001B0349"/>
    <w:rsid w:val="001B1E93"/>
    <w:rsid w:val="001B65C1"/>
    <w:rsid w:val="001C260F"/>
    <w:rsid w:val="001C5C3A"/>
    <w:rsid w:val="001C684B"/>
    <w:rsid w:val="001D0CFB"/>
    <w:rsid w:val="001D21AF"/>
    <w:rsid w:val="001D3D32"/>
    <w:rsid w:val="001D53FC"/>
    <w:rsid w:val="001F42A5"/>
    <w:rsid w:val="001F7B9D"/>
    <w:rsid w:val="00201C93"/>
    <w:rsid w:val="002038C5"/>
    <w:rsid w:val="00204A48"/>
    <w:rsid w:val="00220B1C"/>
    <w:rsid w:val="002224B4"/>
    <w:rsid w:val="00237EAA"/>
    <w:rsid w:val="00244536"/>
    <w:rsid w:val="002447EF"/>
    <w:rsid w:val="00251550"/>
    <w:rsid w:val="00263590"/>
    <w:rsid w:val="00263B05"/>
    <w:rsid w:val="0027221A"/>
    <w:rsid w:val="00274406"/>
    <w:rsid w:val="00275B61"/>
    <w:rsid w:val="00280FAF"/>
    <w:rsid w:val="00282656"/>
    <w:rsid w:val="00283791"/>
    <w:rsid w:val="002944D2"/>
    <w:rsid w:val="00296B83"/>
    <w:rsid w:val="002B2231"/>
    <w:rsid w:val="002B4015"/>
    <w:rsid w:val="002B78CE"/>
    <w:rsid w:val="002C122D"/>
    <w:rsid w:val="002C2FB6"/>
    <w:rsid w:val="002E5FA7"/>
    <w:rsid w:val="002F29FD"/>
    <w:rsid w:val="002F3309"/>
    <w:rsid w:val="003008CE"/>
    <w:rsid w:val="003009B7"/>
    <w:rsid w:val="00300E56"/>
    <w:rsid w:val="0030152C"/>
    <w:rsid w:val="0030469C"/>
    <w:rsid w:val="00304CE8"/>
    <w:rsid w:val="00321CA6"/>
    <w:rsid w:val="00323763"/>
    <w:rsid w:val="00323C5F"/>
    <w:rsid w:val="003306B6"/>
    <w:rsid w:val="00334C09"/>
    <w:rsid w:val="003378D0"/>
    <w:rsid w:val="0034587B"/>
    <w:rsid w:val="003723D4"/>
    <w:rsid w:val="0037283F"/>
    <w:rsid w:val="00381905"/>
    <w:rsid w:val="00384CC8"/>
    <w:rsid w:val="003871FD"/>
    <w:rsid w:val="0039253E"/>
    <w:rsid w:val="003A1E30"/>
    <w:rsid w:val="003A2829"/>
    <w:rsid w:val="003A78A7"/>
    <w:rsid w:val="003A7D1C"/>
    <w:rsid w:val="003B304B"/>
    <w:rsid w:val="003B3146"/>
    <w:rsid w:val="003B49CD"/>
    <w:rsid w:val="003C712D"/>
    <w:rsid w:val="003D1E02"/>
    <w:rsid w:val="003E3B5C"/>
    <w:rsid w:val="003F015E"/>
    <w:rsid w:val="00400414"/>
    <w:rsid w:val="0041446B"/>
    <w:rsid w:val="00415290"/>
    <w:rsid w:val="004226D3"/>
    <w:rsid w:val="00431DA7"/>
    <w:rsid w:val="00433810"/>
    <w:rsid w:val="0044071E"/>
    <w:rsid w:val="00440D04"/>
    <w:rsid w:val="0044329C"/>
    <w:rsid w:val="00453E24"/>
    <w:rsid w:val="00457456"/>
    <w:rsid w:val="004577FE"/>
    <w:rsid w:val="00457B9C"/>
    <w:rsid w:val="0046004A"/>
    <w:rsid w:val="0046164A"/>
    <w:rsid w:val="004628D2"/>
    <w:rsid w:val="00462DCD"/>
    <w:rsid w:val="004648AD"/>
    <w:rsid w:val="004703A9"/>
    <w:rsid w:val="004760DE"/>
    <w:rsid w:val="004763D7"/>
    <w:rsid w:val="004820A6"/>
    <w:rsid w:val="00486C97"/>
    <w:rsid w:val="004870C3"/>
    <w:rsid w:val="004A004E"/>
    <w:rsid w:val="004A24CF"/>
    <w:rsid w:val="004A67AF"/>
    <w:rsid w:val="004C3D1D"/>
    <w:rsid w:val="004C3D84"/>
    <w:rsid w:val="004C7913"/>
    <w:rsid w:val="004E4DD6"/>
    <w:rsid w:val="004F5E36"/>
    <w:rsid w:val="00503264"/>
    <w:rsid w:val="00507B47"/>
    <w:rsid w:val="00507BEF"/>
    <w:rsid w:val="00507CC9"/>
    <w:rsid w:val="005119A5"/>
    <w:rsid w:val="005219BA"/>
    <w:rsid w:val="005278B7"/>
    <w:rsid w:val="00527F6E"/>
    <w:rsid w:val="00532016"/>
    <w:rsid w:val="005346C8"/>
    <w:rsid w:val="00536462"/>
    <w:rsid w:val="00543E7D"/>
    <w:rsid w:val="00547A68"/>
    <w:rsid w:val="005531C9"/>
    <w:rsid w:val="00553C14"/>
    <w:rsid w:val="00554879"/>
    <w:rsid w:val="00570C43"/>
    <w:rsid w:val="005759D6"/>
    <w:rsid w:val="0057630C"/>
    <w:rsid w:val="00592274"/>
    <w:rsid w:val="005B2110"/>
    <w:rsid w:val="005B350B"/>
    <w:rsid w:val="005B61E6"/>
    <w:rsid w:val="005C77E1"/>
    <w:rsid w:val="005D573A"/>
    <w:rsid w:val="005D668A"/>
    <w:rsid w:val="005D6A2F"/>
    <w:rsid w:val="005D7CCB"/>
    <w:rsid w:val="005E0592"/>
    <w:rsid w:val="005E1A82"/>
    <w:rsid w:val="005E55DC"/>
    <w:rsid w:val="005E794C"/>
    <w:rsid w:val="005F0A28"/>
    <w:rsid w:val="005F0E5E"/>
    <w:rsid w:val="00600535"/>
    <w:rsid w:val="00610CD6"/>
    <w:rsid w:val="00620DEE"/>
    <w:rsid w:val="00621F92"/>
    <w:rsid w:val="0062280A"/>
    <w:rsid w:val="006231E1"/>
    <w:rsid w:val="00625639"/>
    <w:rsid w:val="00626342"/>
    <w:rsid w:val="00631B33"/>
    <w:rsid w:val="0064184D"/>
    <w:rsid w:val="006422CC"/>
    <w:rsid w:val="00651D18"/>
    <w:rsid w:val="006527A2"/>
    <w:rsid w:val="00660E3E"/>
    <w:rsid w:val="00662E74"/>
    <w:rsid w:val="00667A13"/>
    <w:rsid w:val="00677951"/>
    <w:rsid w:val="00680C23"/>
    <w:rsid w:val="00683E23"/>
    <w:rsid w:val="00684D29"/>
    <w:rsid w:val="00693766"/>
    <w:rsid w:val="006A3281"/>
    <w:rsid w:val="006A6DE5"/>
    <w:rsid w:val="006B4888"/>
    <w:rsid w:val="006C2620"/>
    <w:rsid w:val="006C2E45"/>
    <w:rsid w:val="006C359C"/>
    <w:rsid w:val="006C5579"/>
    <w:rsid w:val="006D12A1"/>
    <w:rsid w:val="006D6E8B"/>
    <w:rsid w:val="006D7209"/>
    <w:rsid w:val="006E4D59"/>
    <w:rsid w:val="006E5133"/>
    <w:rsid w:val="006E737D"/>
    <w:rsid w:val="006F7277"/>
    <w:rsid w:val="00707DD1"/>
    <w:rsid w:val="00713973"/>
    <w:rsid w:val="00720A24"/>
    <w:rsid w:val="00732386"/>
    <w:rsid w:val="0073514D"/>
    <w:rsid w:val="007447F3"/>
    <w:rsid w:val="00750DDA"/>
    <w:rsid w:val="0075499F"/>
    <w:rsid w:val="007661C8"/>
    <w:rsid w:val="0077098D"/>
    <w:rsid w:val="00773D30"/>
    <w:rsid w:val="00774246"/>
    <w:rsid w:val="00781EE0"/>
    <w:rsid w:val="007833FF"/>
    <w:rsid w:val="00785BF9"/>
    <w:rsid w:val="007931FA"/>
    <w:rsid w:val="007A4861"/>
    <w:rsid w:val="007A7BBA"/>
    <w:rsid w:val="007B0C50"/>
    <w:rsid w:val="007B48F9"/>
    <w:rsid w:val="007C1A43"/>
    <w:rsid w:val="007D0951"/>
    <w:rsid w:val="007D610D"/>
    <w:rsid w:val="0080013E"/>
    <w:rsid w:val="00801759"/>
    <w:rsid w:val="00813183"/>
    <w:rsid w:val="00813288"/>
    <w:rsid w:val="008168FC"/>
    <w:rsid w:val="00826C5E"/>
    <w:rsid w:val="00830996"/>
    <w:rsid w:val="00831E51"/>
    <w:rsid w:val="008345F1"/>
    <w:rsid w:val="0083573A"/>
    <w:rsid w:val="00851FD1"/>
    <w:rsid w:val="00856DA1"/>
    <w:rsid w:val="00865B07"/>
    <w:rsid w:val="008667EA"/>
    <w:rsid w:val="0087637F"/>
    <w:rsid w:val="00892AD5"/>
    <w:rsid w:val="008A1512"/>
    <w:rsid w:val="008B0A93"/>
    <w:rsid w:val="008D28A5"/>
    <w:rsid w:val="008D32B9"/>
    <w:rsid w:val="008D433B"/>
    <w:rsid w:val="008D4A16"/>
    <w:rsid w:val="008E5401"/>
    <w:rsid w:val="008E566E"/>
    <w:rsid w:val="008E5CAA"/>
    <w:rsid w:val="0090161A"/>
    <w:rsid w:val="00901EB6"/>
    <w:rsid w:val="009032FE"/>
    <w:rsid w:val="009041F8"/>
    <w:rsid w:val="00904C62"/>
    <w:rsid w:val="0092223B"/>
    <w:rsid w:val="00922BA8"/>
    <w:rsid w:val="00924DAC"/>
    <w:rsid w:val="00927058"/>
    <w:rsid w:val="00931490"/>
    <w:rsid w:val="00933C93"/>
    <w:rsid w:val="00937267"/>
    <w:rsid w:val="00942750"/>
    <w:rsid w:val="009450CE"/>
    <w:rsid w:val="009459BB"/>
    <w:rsid w:val="00947179"/>
    <w:rsid w:val="0094741D"/>
    <w:rsid w:val="0095164B"/>
    <w:rsid w:val="00954090"/>
    <w:rsid w:val="009573E7"/>
    <w:rsid w:val="00963E05"/>
    <w:rsid w:val="00964A45"/>
    <w:rsid w:val="00967843"/>
    <w:rsid w:val="00967D54"/>
    <w:rsid w:val="00971028"/>
    <w:rsid w:val="0099102B"/>
    <w:rsid w:val="00993B84"/>
    <w:rsid w:val="00994C6A"/>
    <w:rsid w:val="00996483"/>
    <w:rsid w:val="00996F5A"/>
    <w:rsid w:val="009B041A"/>
    <w:rsid w:val="009B6E57"/>
    <w:rsid w:val="009C37C3"/>
    <w:rsid w:val="009C7C86"/>
    <w:rsid w:val="009D2FF7"/>
    <w:rsid w:val="009E3BDA"/>
    <w:rsid w:val="009E7884"/>
    <w:rsid w:val="009E788A"/>
    <w:rsid w:val="009F0E08"/>
    <w:rsid w:val="009F3B3F"/>
    <w:rsid w:val="00A079AE"/>
    <w:rsid w:val="00A16008"/>
    <w:rsid w:val="00A1763D"/>
    <w:rsid w:val="00A17CEC"/>
    <w:rsid w:val="00A2639E"/>
    <w:rsid w:val="00A27EF0"/>
    <w:rsid w:val="00A42361"/>
    <w:rsid w:val="00A42514"/>
    <w:rsid w:val="00A50B20"/>
    <w:rsid w:val="00A50FA0"/>
    <w:rsid w:val="00A51390"/>
    <w:rsid w:val="00A60D13"/>
    <w:rsid w:val="00A61E42"/>
    <w:rsid w:val="00A7223D"/>
    <w:rsid w:val="00A72745"/>
    <w:rsid w:val="00A76EFC"/>
    <w:rsid w:val="00A821DC"/>
    <w:rsid w:val="00A87D50"/>
    <w:rsid w:val="00A91010"/>
    <w:rsid w:val="00A92115"/>
    <w:rsid w:val="00A94407"/>
    <w:rsid w:val="00A97F29"/>
    <w:rsid w:val="00AA702E"/>
    <w:rsid w:val="00AA7D26"/>
    <w:rsid w:val="00AB0964"/>
    <w:rsid w:val="00AB1E76"/>
    <w:rsid w:val="00AB5011"/>
    <w:rsid w:val="00AB6A9B"/>
    <w:rsid w:val="00AC7368"/>
    <w:rsid w:val="00AD16B9"/>
    <w:rsid w:val="00AE377D"/>
    <w:rsid w:val="00AF0EBA"/>
    <w:rsid w:val="00AF2463"/>
    <w:rsid w:val="00B02C8A"/>
    <w:rsid w:val="00B17FBD"/>
    <w:rsid w:val="00B226B7"/>
    <w:rsid w:val="00B315A6"/>
    <w:rsid w:val="00B31813"/>
    <w:rsid w:val="00B33365"/>
    <w:rsid w:val="00B4431C"/>
    <w:rsid w:val="00B57B36"/>
    <w:rsid w:val="00B57E6F"/>
    <w:rsid w:val="00B64DC6"/>
    <w:rsid w:val="00B76720"/>
    <w:rsid w:val="00B85F7E"/>
    <w:rsid w:val="00B867E6"/>
    <w:rsid w:val="00B8686D"/>
    <w:rsid w:val="00B911CC"/>
    <w:rsid w:val="00B920EB"/>
    <w:rsid w:val="00B93F69"/>
    <w:rsid w:val="00BB1DDC"/>
    <w:rsid w:val="00BC010D"/>
    <w:rsid w:val="00BC30C9"/>
    <w:rsid w:val="00BD05E9"/>
    <w:rsid w:val="00BD077D"/>
    <w:rsid w:val="00BD4E9A"/>
    <w:rsid w:val="00BE3E58"/>
    <w:rsid w:val="00BF13CE"/>
    <w:rsid w:val="00C01616"/>
    <w:rsid w:val="00C0162B"/>
    <w:rsid w:val="00C068ED"/>
    <w:rsid w:val="00C210CD"/>
    <w:rsid w:val="00C22E0C"/>
    <w:rsid w:val="00C345B1"/>
    <w:rsid w:val="00C36C6A"/>
    <w:rsid w:val="00C40142"/>
    <w:rsid w:val="00C403AB"/>
    <w:rsid w:val="00C51C0B"/>
    <w:rsid w:val="00C52C3C"/>
    <w:rsid w:val="00C539A3"/>
    <w:rsid w:val="00C57182"/>
    <w:rsid w:val="00C57863"/>
    <w:rsid w:val="00C63523"/>
    <w:rsid w:val="00C640AF"/>
    <w:rsid w:val="00C655FD"/>
    <w:rsid w:val="00C75407"/>
    <w:rsid w:val="00C841C6"/>
    <w:rsid w:val="00C870A8"/>
    <w:rsid w:val="00C94434"/>
    <w:rsid w:val="00CA0D75"/>
    <w:rsid w:val="00CA1C95"/>
    <w:rsid w:val="00CA5A9C"/>
    <w:rsid w:val="00CB06A5"/>
    <w:rsid w:val="00CC4C20"/>
    <w:rsid w:val="00CC7DB1"/>
    <w:rsid w:val="00CD3208"/>
    <w:rsid w:val="00CD3517"/>
    <w:rsid w:val="00CD5FE2"/>
    <w:rsid w:val="00CD77A6"/>
    <w:rsid w:val="00CE7C68"/>
    <w:rsid w:val="00D02B4C"/>
    <w:rsid w:val="00D032BF"/>
    <w:rsid w:val="00D040C4"/>
    <w:rsid w:val="00D20AD1"/>
    <w:rsid w:val="00D2582C"/>
    <w:rsid w:val="00D26813"/>
    <w:rsid w:val="00D279CF"/>
    <w:rsid w:val="00D3105C"/>
    <w:rsid w:val="00D46B7E"/>
    <w:rsid w:val="00D53FE2"/>
    <w:rsid w:val="00D57C84"/>
    <w:rsid w:val="00D6057D"/>
    <w:rsid w:val="00D65CDA"/>
    <w:rsid w:val="00D71640"/>
    <w:rsid w:val="00D836C5"/>
    <w:rsid w:val="00D84576"/>
    <w:rsid w:val="00D850F3"/>
    <w:rsid w:val="00D954B5"/>
    <w:rsid w:val="00DA1399"/>
    <w:rsid w:val="00DA24C6"/>
    <w:rsid w:val="00DA4D7B"/>
    <w:rsid w:val="00DB2848"/>
    <w:rsid w:val="00DC2840"/>
    <w:rsid w:val="00DC38B3"/>
    <w:rsid w:val="00DC73EE"/>
    <w:rsid w:val="00DD271C"/>
    <w:rsid w:val="00DD7CFC"/>
    <w:rsid w:val="00DE1F9D"/>
    <w:rsid w:val="00DE264A"/>
    <w:rsid w:val="00DF5072"/>
    <w:rsid w:val="00E02D18"/>
    <w:rsid w:val="00E041E7"/>
    <w:rsid w:val="00E152C4"/>
    <w:rsid w:val="00E23CA1"/>
    <w:rsid w:val="00E409A8"/>
    <w:rsid w:val="00E50C12"/>
    <w:rsid w:val="00E65ABF"/>
    <w:rsid w:val="00E65B91"/>
    <w:rsid w:val="00E675B3"/>
    <w:rsid w:val="00E7209D"/>
    <w:rsid w:val="00E72EAD"/>
    <w:rsid w:val="00E73C90"/>
    <w:rsid w:val="00E77223"/>
    <w:rsid w:val="00E8528B"/>
    <w:rsid w:val="00E85B94"/>
    <w:rsid w:val="00E978D0"/>
    <w:rsid w:val="00EA4613"/>
    <w:rsid w:val="00EA7F91"/>
    <w:rsid w:val="00EB1523"/>
    <w:rsid w:val="00EB1936"/>
    <w:rsid w:val="00EC0E49"/>
    <w:rsid w:val="00EC101F"/>
    <w:rsid w:val="00EC1D9F"/>
    <w:rsid w:val="00EC721F"/>
    <w:rsid w:val="00EE0131"/>
    <w:rsid w:val="00EE17B0"/>
    <w:rsid w:val="00EE735A"/>
    <w:rsid w:val="00EF06D9"/>
    <w:rsid w:val="00F220EF"/>
    <w:rsid w:val="00F25589"/>
    <w:rsid w:val="00F3035D"/>
    <w:rsid w:val="00F3049E"/>
    <w:rsid w:val="00F3075E"/>
    <w:rsid w:val="00F30C64"/>
    <w:rsid w:val="00F3189E"/>
    <w:rsid w:val="00F32BA2"/>
    <w:rsid w:val="00F32CDB"/>
    <w:rsid w:val="00F33F3F"/>
    <w:rsid w:val="00F41EE4"/>
    <w:rsid w:val="00F565FE"/>
    <w:rsid w:val="00F63A70"/>
    <w:rsid w:val="00F63D8C"/>
    <w:rsid w:val="00F71462"/>
    <w:rsid w:val="00F7534E"/>
    <w:rsid w:val="00F93EDF"/>
    <w:rsid w:val="00FA1802"/>
    <w:rsid w:val="00FA21D0"/>
    <w:rsid w:val="00FA5F5F"/>
    <w:rsid w:val="00FB0999"/>
    <w:rsid w:val="00FB730C"/>
    <w:rsid w:val="00FC2695"/>
    <w:rsid w:val="00FC3B5D"/>
    <w:rsid w:val="00FC3E03"/>
    <w:rsid w:val="00FC3FC1"/>
    <w:rsid w:val="00FC6306"/>
    <w:rsid w:val="00FD6495"/>
    <w:rsid w:val="00FE238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customStyle="1" w:styleId="EndNoteBibliographyTitle">
    <w:name w:val="EndNote Bibliography Title"/>
    <w:basedOn w:val="Normale"/>
    <w:link w:val="EndNoteBibliographyTitleCarattere"/>
    <w:rsid w:val="00DC38B3"/>
    <w:pPr>
      <w:jc w:val="center"/>
    </w:pPr>
    <w:rPr>
      <w:rFonts w:cs="Arial"/>
      <w:noProof/>
      <w:sz w:val="20"/>
      <w:lang w:val="en-US"/>
    </w:rPr>
  </w:style>
  <w:style w:type="character" w:customStyle="1" w:styleId="EndNoteBibliographyTitleCarattere">
    <w:name w:val="EndNote Bibliography Title Carattere"/>
    <w:basedOn w:val="CETBodytextCarattere"/>
    <w:link w:val="EndNoteBibliographyTitle"/>
    <w:rsid w:val="00DC38B3"/>
    <w:rPr>
      <w:rFonts w:ascii="Arial" w:eastAsia="Times New Roman" w:hAnsi="Arial" w:cs="Arial"/>
      <w:noProof/>
      <w:sz w:val="20"/>
      <w:szCs w:val="20"/>
      <w:lang w:val="en-US"/>
    </w:rPr>
  </w:style>
  <w:style w:type="paragraph" w:customStyle="1" w:styleId="EndNoteBibliography">
    <w:name w:val="EndNote Bibliography"/>
    <w:basedOn w:val="Normale"/>
    <w:link w:val="EndNoteBibliographyCarattere"/>
    <w:rsid w:val="00DC38B3"/>
    <w:pPr>
      <w:spacing w:line="240" w:lineRule="auto"/>
      <w:jc w:val="left"/>
    </w:pPr>
    <w:rPr>
      <w:rFonts w:cs="Arial"/>
      <w:noProof/>
      <w:sz w:val="20"/>
      <w:lang w:val="en-US"/>
    </w:rPr>
  </w:style>
  <w:style w:type="character" w:customStyle="1" w:styleId="EndNoteBibliographyCarattere">
    <w:name w:val="EndNote Bibliography Carattere"/>
    <w:basedOn w:val="CETBodytextCarattere"/>
    <w:link w:val="EndNoteBibliography"/>
    <w:rsid w:val="00DC38B3"/>
    <w:rPr>
      <w:rFonts w:ascii="Arial" w:eastAsia="Times New Roman" w:hAnsi="Arial" w:cs="Arial"/>
      <w:noProof/>
      <w:sz w:val="20"/>
      <w:szCs w:val="20"/>
      <w:lang w:val="en-US"/>
    </w:rPr>
  </w:style>
  <w:style w:type="character" w:styleId="Testosegnaposto">
    <w:name w:val="Placeholder Text"/>
    <w:basedOn w:val="Carpredefinitoparagrafo"/>
    <w:uiPriority w:val="99"/>
    <w:semiHidden/>
    <w:rsid w:val="006779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218CD-6985-4A60-9538-D6EC3CCF6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456</TotalTime>
  <Pages>6</Pages>
  <Words>4446</Words>
  <Characters>25347</Characters>
  <Application>Microsoft Office Word</Application>
  <DocSecurity>0</DocSecurity>
  <Lines>211</Lines>
  <Paragraphs>59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Giorgia De Guido</cp:lastModifiedBy>
  <cp:revision>141</cp:revision>
  <cp:lastPrinted>2015-05-12T18:31:00Z</cp:lastPrinted>
  <dcterms:created xsi:type="dcterms:W3CDTF">2024-02-20T10:29:00Z</dcterms:created>
  <dcterms:modified xsi:type="dcterms:W3CDTF">2025-04-15T17:44:00Z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TWinEqns">
    <vt:bool>true</vt:bool>
  </property>
</Properties>
</file>